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B13BD1">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 xml:space="preserve">6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3C3E63" w:rsidRPr="003C3E63">
        <w:t>R4-2302376</w:t>
      </w:r>
    </w:p>
    <w:p w:rsidR="00675C27" w:rsidRPr="00444A16" w:rsidRDefault="00B143F9" w:rsidP="00B13BD1">
      <w:pPr>
        <w:pStyle w:val="a1"/>
        <w:jc w:val="both"/>
        <w:rPr>
          <w:rFonts w:eastAsia="宋体"/>
          <w:lang w:eastAsia="zh-CN"/>
        </w:rPr>
      </w:pPr>
      <w:r w:rsidRPr="00B143F9">
        <w:rPr>
          <w:rFonts w:eastAsia="宋体"/>
          <w:lang w:eastAsia="zh-CN"/>
        </w:rPr>
        <w:t>Athens, Greece, Feb 27 – Mar 03, 2023</w:t>
      </w:r>
    </w:p>
    <w:p w:rsidR="00F71A33" w:rsidRPr="00F71A33" w:rsidRDefault="00F71A33" w:rsidP="00B13BD1">
      <w:pPr>
        <w:pStyle w:val="a1"/>
        <w:jc w:val="both"/>
        <w:rPr>
          <w:rFonts w:eastAsia="宋体"/>
          <w:lang w:eastAsia="zh-CN"/>
        </w:rPr>
      </w:pPr>
    </w:p>
    <w:p w:rsidR="00911C40" w:rsidRPr="00F26092" w:rsidRDefault="00911C40" w:rsidP="00B13BD1">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B13BD1">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50E9D" w:rsidRPr="00C50E9D">
        <w:rPr>
          <w:rFonts w:ascii="Arial" w:hAnsi="Arial" w:cs="Arial"/>
          <w:sz w:val="22"/>
        </w:rPr>
        <w:t>Clarification on impact of SRS antenna switching for TDD-FDD band combinations</w:t>
      </w:r>
    </w:p>
    <w:p w:rsidR="00911C40" w:rsidRPr="0022403E" w:rsidRDefault="00911C40" w:rsidP="00B13BD1">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8D4869">
        <w:rPr>
          <w:rFonts w:ascii="Arial" w:hAnsi="Arial" w:cs="Arial"/>
          <w:sz w:val="22"/>
        </w:rPr>
        <w:t>11.2.3</w:t>
      </w:r>
    </w:p>
    <w:p w:rsidR="00911C40" w:rsidRPr="00A62DA7" w:rsidRDefault="00911C40" w:rsidP="00B13BD1">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B13BD1">
      <w:pPr>
        <w:pStyle w:val="Heading1"/>
        <w:spacing w:after="240"/>
        <w:jc w:val="both"/>
        <w:rPr>
          <w:rFonts w:eastAsia="宋体"/>
          <w:lang w:eastAsia="zh-CN"/>
        </w:rPr>
      </w:pPr>
      <w:r>
        <w:rPr>
          <w:rFonts w:eastAsia="宋体" w:hint="eastAsia"/>
          <w:lang w:eastAsia="zh-CN"/>
        </w:rPr>
        <w:t>Introduction</w:t>
      </w:r>
    </w:p>
    <w:p w:rsidR="009A089A" w:rsidRDefault="00784C2A" w:rsidP="00B13BD1">
      <w:pPr>
        <w:jc w:val="both"/>
      </w:pPr>
      <w:r>
        <w:rPr>
          <w:lang w:val="x-none"/>
        </w:rPr>
        <w:t>SRS antenna switching had been introduced from the LTE era, and the feature was also introduced for NR in Rel-15</w:t>
      </w:r>
      <w:r w:rsidR="00B9629D">
        <w:rPr>
          <w:lang w:val="x-none"/>
        </w:rPr>
        <w:t>.</w:t>
      </w:r>
      <w:r>
        <w:rPr>
          <w:lang w:val="x-none"/>
        </w:rPr>
        <w:t xml:space="preserve"> Typically, the </w:t>
      </w:r>
      <w:r w:rsidR="00335226">
        <w:rPr>
          <w:lang w:val="x-none"/>
        </w:rPr>
        <w:t xml:space="preserve">feature for a TDD-FDD band combination, no matter it is EN-DC or NR CA scenario, the FDD band would be affected due to SRS antenna switching in the TDD band. </w:t>
      </w:r>
      <w:r w:rsidR="00BC3CF9">
        <w:rPr>
          <w:lang w:val="x-none"/>
        </w:rPr>
        <w:t>Impact</w:t>
      </w:r>
      <w:r w:rsidR="00335226" w:rsidRPr="00335226">
        <w:rPr>
          <w:lang w:val="x-none"/>
        </w:rPr>
        <w:t xml:space="preserve"> on FDD DL in a TDD+FDD CA</w:t>
      </w:r>
      <w:r w:rsidR="00335226">
        <w:rPr>
          <w:lang w:val="x-none"/>
        </w:rPr>
        <w:t xml:space="preserve"> </w:t>
      </w:r>
      <w:r w:rsidR="00BC3CF9">
        <w:rPr>
          <w:lang w:val="x-none"/>
        </w:rPr>
        <w:t xml:space="preserve">caused by TDD band SRS antenna switching </w:t>
      </w:r>
      <w:r w:rsidR="00335226">
        <w:rPr>
          <w:lang w:val="x-none"/>
        </w:rPr>
        <w:t>was once discussed in RAN4 for LTE, and the identified issue was sent to RAN1, however, it is still observed that</w:t>
      </w:r>
      <w:r w:rsidR="000A002D">
        <w:rPr>
          <w:lang w:val="x-none"/>
        </w:rPr>
        <w:t xml:space="preserve"> some </w:t>
      </w:r>
      <w:r w:rsidR="00B03417">
        <w:rPr>
          <w:lang w:val="x-none"/>
        </w:rPr>
        <w:t>ambiguity exists in the specification, and consequently may cause some issues in the real network. Thus some clarifications would be helpful to address the ambiguity</w:t>
      </w:r>
      <w:r w:rsidR="00136DCF">
        <w:rPr>
          <w:lang w:val="x-none"/>
        </w:rPr>
        <w:t xml:space="preserve"> for TDD-FDD band combination</w:t>
      </w:r>
      <w:r w:rsidR="00B03417">
        <w:rPr>
          <w:lang w:val="x-none"/>
        </w:rPr>
        <w:t xml:space="preserve">. </w:t>
      </w:r>
    </w:p>
    <w:p w:rsidR="00062E8E" w:rsidRDefault="00062E8E" w:rsidP="00B13BD1">
      <w:pPr>
        <w:pStyle w:val="Heading1"/>
        <w:spacing w:after="240"/>
        <w:jc w:val="both"/>
        <w:rPr>
          <w:rFonts w:eastAsia="宋体"/>
          <w:lang w:eastAsia="zh-CN"/>
        </w:rPr>
      </w:pPr>
      <w:r>
        <w:rPr>
          <w:rFonts w:eastAsia="宋体" w:hint="eastAsia"/>
          <w:lang w:eastAsia="zh-CN"/>
        </w:rPr>
        <w:t>Discussion</w:t>
      </w:r>
    </w:p>
    <w:p w:rsidR="004E608D" w:rsidRDefault="003E09B4" w:rsidP="00B13BD1">
      <w:pPr>
        <w:jc w:val="both"/>
        <w:rPr>
          <w:lang w:val="en-US"/>
        </w:rPr>
      </w:pPr>
      <w:r>
        <w:rPr>
          <w:rFonts w:hint="eastAsia"/>
          <w:lang w:val="en-US"/>
        </w:rPr>
        <w:t>T</w:t>
      </w:r>
      <w:r>
        <w:rPr>
          <w:lang w:val="en-US"/>
        </w:rPr>
        <w:t>he i</w:t>
      </w:r>
      <w:r w:rsidR="00B13BD1">
        <w:rPr>
          <w:lang w:val="en-US"/>
        </w:rPr>
        <w:t>ssue was initially discussed in [1]</w:t>
      </w:r>
      <w:r w:rsidR="004E608D">
        <w:rPr>
          <w:lang w:val="en-US"/>
        </w:rPr>
        <w:t>. According to the discussion in RAN4, the issue mentioned in the LS to RAN1 was focused on the impact on FDD Rx for FDD+TDD CA</w:t>
      </w:r>
      <w:r w:rsidR="00E4040E">
        <w:rPr>
          <w:lang w:val="en-US"/>
        </w:rPr>
        <w:t xml:space="preserve"> [2]</w:t>
      </w:r>
      <w:r w:rsidR="004E608D">
        <w:rPr>
          <w:lang w:val="en-US"/>
        </w:rPr>
        <w:t>. The main content of the LS is copied as below for reference.</w:t>
      </w:r>
    </w:p>
    <w:p w:rsidR="004E608D" w:rsidRDefault="004E608D" w:rsidP="004E608D">
      <w:pPr>
        <w:ind w:leftChars="100" w:left="200"/>
        <w:jc w:val="both"/>
        <w:rPr>
          <w:i/>
        </w:rPr>
      </w:pPr>
      <w:r w:rsidRPr="004E608D">
        <w:rPr>
          <w:i/>
        </w:rPr>
        <w:t>In some UE architectures, some TDD and FDD bands share common RF front-end components.</w:t>
      </w:r>
      <w:r w:rsidRPr="004E608D">
        <w:rPr>
          <w:rFonts w:ascii="Arial" w:hAnsi="Arial" w:cs="Arial"/>
          <w:i/>
        </w:rPr>
        <w:t xml:space="preserve"> </w:t>
      </w:r>
      <w:r w:rsidRPr="004E608D">
        <w:rPr>
          <w:i/>
        </w:rPr>
        <w:t>When TDD Tx is active on a UE in FDD+TDD CA among these bands, and TDD SRS antenna switching is executed, some FDD Rx will also switch antennas, which results in an abrupt phase and/or amplitude change on FDD Rx (a glitch in FDD Rx). The degree of phase and/or amplitude change is dependent on the delta in channel conditions between the two antennas. This abrupt phase change can cause a significant BLER and hence throughput loss on FDD Rx in the subframes colliding with TDD Tx SRS antenna switching.</w:t>
      </w:r>
    </w:p>
    <w:p w:rsidR="004E608D" w:rsidRDefault="00A11732" w:rsidP="004E608D">
      <w:pPr>
        <w:rPr>
          <w:lang w:val="en-US"/>
        </w:rPr>
      </w:pPr>
      <w:r>
        <w:rPr>
          <w:lang w:val="en-US"/>
        </w:rPr>
        <w:t xml:space="preserve">The LS from RAN4 is to request RAN1 to consider the glitch issue for the FDD Rx in LTE FDD+TDD CA. </w:t>
      </w:r>
      <w:r w:rsidR="004E608D">
        <w:rPr>
          <w:rFonts w:hint="eastAsia"/>
          <w:lang w:val="en-US"/>
        </w:rPr>
        <w:t>T</w:t>
      </w:r>
      <w:r w:rsidR="004E608D">
        <w:rPr>
          <w:lang w:val="en-US"/>
        </w:rPr>
        <w:t>o better illustrate the issue, a reference UE implementation similar to that used in [1] is provided in Figure 1.</w:t>
      </w:r>
    </w:p>
    <w:p w:rsidR="004E608D" w:rsidRDefault="006B3107" w:rsidP="004E608D">
      <w:pPr>
        <w:jc w:val="center"/>
        <w:rPr>
          <w:lang w:val="en-US"/>
        </w:rPr>
      </w:pPr>
      <w:r w:rsidRPr="006B3107">
        <w:rPr>
          <w:noProof/>
        </w:rPr>
        <w:drawing>
          <wp:inline distT="0" distB="0" distL="0" distR="0" wp14:anchorId="24873D04" wp14:editId="3E5D04A9">
            <wp:extent cx="3428571" cy="227619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28571" cy="2276190"/>
                    </a:xfrm>
                    <a:prstGeom prst="rect">
                      <a:avLst/>
                    </a:prstGeom>
                  </pic:spPr>
                </pic:pic>
              </a:graphicData>
            </a:graphic>
          </wp:inline>
        </w:drawing>
      </w:r>
      <w:r>
        <w:rPr>
          <w:noProof/>
        </w:rPr>
        <w:t xml:space="preserve"> </w:t>
      </w:r>
      <w:r w:rsidR="00BD1253">
        <w:rPr>
          <w:noProof/>
        </w:rPr>
        <w:t xml:space="preserve"> </w:t>
      </w:r>
    </w:p>
    <w:p w:rsidR="00D67128" w:rsidRPr="00D67128" w:rsidRDefault="00D67128" w:rsidP="004E608D">
      <w:pPr>
        <w:jc w:val="center"/>
        <w:rPr>
          <w:rFonts w:ascii="Arial" w:hAnsi="Arial" w:cs="Arial"/>
          <w:b/>
          <w:lang w:val="en-US"/>
        </w:rPr>
      </w:pPr>
      <w:r w:rsidRPr="00D67128">
        <w:rPr>
          <w:rFonts w:ascii="Arial" w:hAnsi="Arial" w:cs="Arial"/>
          <w:b/>
          <w:lang w:val="en-US"/>
        </w:rPr>
        <w:t>Figure 1: Example architecture for FDD+TDD band combination share FE components and antennas</w:t>
      </w:r>
    </w:p>
    <w:p w:rsidR="004E608D" w:rsidRDefault="00023D66" w:rsidP="00062EC4">
      <w:pPr>
        <w:jc w:val="both"/>
        <w:rPr>
          <w:lang w:val="en-US"/>
        </w:rPr>
      </w:pPr>
      <w:r>
        <w:rPr>
          <w:rFonts w:hint="eastAsia"/>
          <w:lang w:val="en-US"/>
        </w:rPr>
        <w:t>S</w:t>
      </w:r>
      <w:r>
        <w:rPr>
          <w:lang w:val="en-US"/>
        </w:rPr>
        <w:t xml:space="preserve">ince the FDD band is switched together with the TDD band when SRS antenna switching occurs, UL transmission in the FDD band is also abrupted. According to the study in RAN4, the switching time is 15us, and the switching period specified in RAN1 is in symbol level. Apart from the abruption in Tx, the impact on the FDD Rx is more obvious. The </w:t>
      </w:r>
      <w:r w:rsidR="00C75F8F">
        <w:rPr>
          <w:lang w:val="en-US"/>
        </w:rPr>
        <w:t>typical</w:t>
      </w:r>
      <w:r>
        <w:rPr>
          <w:lang w:val="en-US"/>
        </w:rPr>
        <w:t xml:space="preserve"> UE implementation supports 2Rx to achieve the diversity gain for better performance. </w:t>
      </w:r>
      <w:r w:rsidR="00C75F8F">
        <w:rPr>
          <w:lang w:val="en-US"/>
        </w:rPr>
        <w:t xml:space="preserve">Once the Tx is changed to </w:t>
      </w:r>
      <w:r w:rsidR="00C75F8F">
        <w:rPr>
          <w:lang w:val="en-US"/>
        </w:rPr>
        <w:lastRenderedPageBreak/>
        <w:t xml:space="preserve">the diversity antenna connector, in order to maintain the </w:t>
      </w:r>
      <w:r w:rsidR="00D67128">
        <w:rPr>
          <w:lang w:val="en-US"/>
        </w:rPr>
        <w:t>reception</w:t>
      </w:r>
      <w:r w:rsidR="000C7333">
        <w:rPr>
          <w:lang w:val="en-US"/>
        </w:rPr>
        <w:t xml:space="preserve"> from </w:t>
      </w:r>
      <w:r w:rsidR="00D67128">
        <w:rPr>
          <w:lang w:val="en-US"/>
        </w:rPr>
        <w:t xml:space="preserve">two antennas, the diversity RF chain for the FDD band also needs to be switched to the previous main antenna. During the switching, the phase, amplitude cannot be maintained unchanged, even more the reception could be interrupted for a short period. </w:t>
      </w:r>
    </w:p>
    <w:p w:rsidR="003345A3" w:rsidRPr="004E608D" w:rsidRDefault="00A11064" w:rsidP="00062EC4">
      <w:pPr>
        <w:jc w:val="both"/>
        <w:rPr>
          <w:lang w:val="en-US"/>
        </w:rPr>
      </w:pPr>
      <w:r>
        <w:rPr>
          <w:rFonts w:hint="eastAsia"/>
          <w:lang w:val="en-US"/>
        </w:rPr>
        <w:t>F</w:t>
      </w:r>
      <w:r>
        <w:rPr>
          <w:lang w:val="en-US"/>
        </w:rPr>
        <w:t xml:space="preserve">rankly speaking, the </w:t>
      </w:r>
      <w:r w:rsidR="00062EC4">
        <w:rPr>
          <w:lang w:val="en-US"/>
        </w:rPr>
        <w:t xml:space="preserve">possible impact for Rx and Tx has been considered in RAN2 specification. In TS 38.306, parameters of </w:t>
      </w:r>
      <w:proofErr w:type="spellStart"/>
      <w:r w:rsidR="00062EC4" w:rsidRPr="00062EC4">
        <w:rPr>
          <w:i/>
          <w:lang w:val="en-US"/>
        </w:rPr>
        <w:t>txSwitchImpactToRx</w:t>
      </w:r>
      <w:proofErr w:type="spellEnd"/>
      <w:r w:rsidR="00062EC4">
        <w:rPr>
          <w:lang w:val="en-US"/>
        </w:rPr>
        <w:t xml:space="preserve"> and </w:t>
      </w:r>
      <w:proofErr w:type="spellStart"/>
      <w:r w:rsidR="00062EC4" w:rsidRPr="00062EC4">
        <w:rPr>
          <w:i/>
          <w:lang w:val="en-US"/>
        </w:rPr>
        <w:t>txSwitchWithAnotherBand</w:t>
      </w:r>
      <w:proofErr w:type="spellEnd"/>
      <w:r w:rsidR="00062EC4">
        <w:rPr>
          <w:lang w:val="en-US"/>
        </w:rPr>
        <w:t xml:space="preserve"> under </w:t>
      </w:r>
      <w:r w:rsidR="00062EC4" w:rsidRPr="00062EC4">
        <w:rPr>
          <w:i/>
          <w:lang w:val="en-US"/>
        </w:rPr>
        <w:t>SRS-</w:t>
      </w:r>
      <w:proofErr w:type="spellStart"/>
      <w:r w:rsidR="00062EC4" w:rsidRPr="00062EC4">
        <w:rPr>
          <w:i/>
          <w:lang w:val="en-US"/>
        </w:rPr>
        <w:t>TxSwitch</w:t>
      </w:r>
      <w:proofErr w:type="spellEnd"/>
      <w:r w:rsidR="00062EC4">
        <w:rPr>
          <w:lang w:val="en-US"/>
        </w:rPr>
        <w:t xml:space="preserve"> capability should be indicated for the band combination.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B3928" w:rsidRPr="00E04032" w:rsidTr="005A6613">
        <w:trPr>
          <w:cantSplit/>
          <w:tblHeader/>
        </w:trPr>
        <w:tc>
          <w:tcPr>
            <w:tcW w:w="6917" w:type="dxa"/>
          </w:tcPr>
          <w:p w:rsidR="00FB3928" w:rsidRPr="00E04032" w:rsidRDefault="00FB3928" w:rsidP="00B13BD1">
            <w:pPr>
              <w:pStyle w:val="TAL"/>
              <w:jc w:val="both"/>
              <w:rPr>
                <w:b/>
                <w:i/>
              </w:rPr>
            </w:pPr>
            <w:proofErr w:type="spellStart"/>
            <w:r w:rsidRPr="00E04032">
              <w:rPr>
                <w:b/>
                <w:i/>
              </w:rPr>
              <w:t>srs-TxSwitch</w:t>
            </w:r>
            <w:proofErr w:type="spellEnd"/>
            <w:r w:rsidRPr="00E04032">
              <w:rPr>
                <w:b/>
                <w:i/>
              </w:rPr>
              <w:t>, srs-TxSwitch-v1610</w:t>
            </w:r>
          </w:p>
          <w:p w:rsidR="00FB3928" w:rsidRPr="00E04032" w:rsidRDefault="00FB3928" w:rsidP="00B13BD1">
            <w:pPr>
              <w:pStyle w:val="TAL"/>
              <w:jc w:val="both"/>
            </w:pPr>
            <w:r w:rsidRPr="00E04032">
              <w:t>Defines whether UE supports SRS for DL CSI acquisition as defined in clause 6.2.1.2 of TS 38.214 [12]. The capability signalling comprises of the following parameters:</w:t>
            </w:r>
          </w:p>
          <w:p w:rsidR="00FB3928" w:rsidRPr="00E04032" w:rsidRDefault="00FB3928" w:rsidP="00B13BD1">
            <w:pPr>
              <w:pStyle w:val="B10"/>
              <w:jc w:val="both"/>
              <w:rPr>
                <w:rFonts w:ascii="Arial" w:hAnsi="Arial" w:cs="Arial"/>
                <w:iCs/>
                <w:sz w:val="18"/>
                <w:szCs w:val="18"/>
              </w:rPr>
            </w:pPr>
            <w:r w:rsidRPr="00E04032">
              <w:rPr>
                <w:rFonts w:ascii="Arial" w:hAnsi="Arial" w:cs="Arial"/>
                <w:sz w:val="18"/>
                <w:szCs w:val="18"/>
              </w:rPr>
              <w:t>-</w:t>
            </w:r>
            <w:r w:rsidRPr="00E04032">
              <w:rPr>
                <w:rFonts w:ascii="Arial" w:hAnsi="Arial" w:cs="Arial"/>
                <w:sz w:val="18"/>
                <w:szCs w:val="18"/>
              </w:rPr>
              <w:tab/>
            </w:r>
            <w:proofErr w:type="spellStart"/>
            <w:r w:rsidRPr="00E04032">
              <w:rPr>
                <w:rFonts w:ascii="Arial" w:hAnsi="Arial" w:cs="Arial"/>
                <w:i/>
                <w:sz w:val="18"/>
                <w:szCs w:val="18"/>
              </w:rPr>
              <w:t>supportedSRS-TxPortSwitch</w:t>
            </w:r>
            <w:proofErr w:type="spellEnd"/>
            <w:r w:rsidRPr="00E04032">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E04032">
              <w:rPr>
                <w:rFonts w:ascii="Arial" w:hAnsi="Arial" w:cs="Arial"/>
                <w:sz w:val="18"/>
                <w:szCs w:val="18"/>
              </w:rPr>
              <w:t>xTyR</w:t>
            </w:r>
            <w:proofErr w:type="spellEnd"/>
            <w:r w:rsidRPr="00E04032">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E04032">
              <w:rPr>
                <w:rFonts w:ascii="Arial" w:hAnsi="Arial" w:cs="Arial"/>
                <w:i/>
                <w:sz w:val="18"/>
                <w:szCs w:val="18"/>
              </w:rPr>
              <w:t>supportedSRS-TxPortSwitch-v1610</w:t>
            </w:r>
            <w:r w:rsidRPr="00E04032">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E04032">
              <w:rPr>
                <w:rFonts w:ascii="Arial" w:hAnsi="Arial" w:cs="Arial"/>
                <w:i/>
                <w:sz w:val="18"/>
                <w:szCs w:val="18"/>
              </w:rPr>
              <w:t>supportedSRS-TxPortSwitch-v1610</w:t>
            </w:r>
            <w:r w:rsidRPr="00E04032">
              <w:rPr>
                <w:rFonts w:ascii="Arial" w:hAnsi="Arial" w:cs="Arial"/>
                <w:iCs/>
                <w:sz w:val="18"/>
                <w:szCs w:val="18"/>
              </w:rPr>
              <w:t xml:space="preserve">, the UE shall report the values for this as below, based on what is reported in </w:t>
            </w:r>
            <w:proofErr w:type="spellStart"/>
            <w:r w:rsidRPr="00E04032">
              <w:rPr>
                <w:rFonts w:ascii="Arial" w:hAnsi="Arial" w:cs="Arial"/>
                <w:i/>
                <w:sz w:val="18"/>
                <w:szCs w:val="18"/>
              </w:rPr>
              <w:t>supportedSRS-TxPortSwitch</w:t>
            </w:r>
            <w:proofErr w:type="spellEnd"/>
            <w:r w:rsidRPr="00E04032">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FB3928" w:rsidRPr="00E04032" w:rsidTr="005A6613">
              <w:tc>
                <w:tcPr>
                  <w:tcW w:w="2365" w:type="pct"/>
                </w:tcPr>
                <w:p w:rsidR="00FB3928" w:rsidRPr="00E04032" w:rsidRDefault="00FB3928" w:rsidP="00B13BD1">
                  <w:pPr>
                    <w:pStyle w:val="TAH"/>
                    <w:jc w:val="both"/>
                    <w:rPr>
                      <w:i/>
                      <w:iCs/>
                    </w:rPr>
                  </w:pPr>
                  <w:proofErr w:type="spellStart"/>
                  <w:r w:rsidRPr="00E04032">
                    <w:rPr>
                      <w:i/>
                      <w:iCs/>
                    </w:rPr>
                    <w:t>supportedSRS-TxPortSwitch</w:t>
                  </w:r>
                  <w:proofErr w:type="spellEnd"/>
                </w:p>
              </w:tc>
              <w:tc>
                <w:tcPr>
                  <w:tcW w:w="2635" w:type="pct"/>
                </w:tcPr>
                <w:p w:rsidR="00FB3928" w:rsidRPr="00E04032" w:rsidRDefault="00FB3928" w:rsidP="00B13BD1">
                  <w:pPr>
                    <w:pStyle w:val="TAH"/>
                    <w:jc w:val="both"/>
                    <w:rPr>
                      <w:i/>
                      <w:iCs/>
                    </w:rPr>
                  </w:pPr>
                  <w:r w:rsidRPr="00E04032">
                    <w:rPr>
                      <w:i/>
                      <w:iCs/>
                    </w:rPr>
                    <w:t>supportedSRS-TxPortSwitch-v1610</w:t>
                  </w:r>
                </w:p>
              </w:tc>
            </w:tr>
            <w:tr w:rsidR="00FB3928" w:rsidRPr="00E04032" w:rsidTr="005A6613">
              <w:tc>
                <w:tcPr>
                  <w:tcW w:w="2365" w:type="pct"/>
                </w:tcPr>
                <w:p w:rsidR="00FB3928" w:rsidRPr="00E04032" w:rsidRDefault="00FB3928" w:rsidP="00B13BD1">
                  <w:pPr>
                    <w:pStyle w:val="TAL"/>
                    <w:jc w:val="both"/>
                    <w:rPr>
                      <w:i/>
                      <w:iCs/>
                    </w:rPr>
                  </w:pPr>
                  <w:r w:rsidRPr="00E04032">
                    <w:rPr>
                      <w:i/>
                      <w:iCs/>
                    </w:rPr>
                    <w:t>t1r2</w:t>
                  </w:r>
                </w:p>
              </w:tc>
              <w:tc>
                <w:tcPr>
                  <w:tcW w:w="2635" w:type="pct"/>
                </w:tcPr>
                <w:p w:rsidR="00FB3928" w:rsidRPr="00E04032" w:rsidRDefault="00FB3928" w:rsidP="00B13BD1">
                  <w:pPr>
                    <w:pStyle w:val="TAL"/>
                    <w:jc w:val="both"/>
                    <w:rPr>
                      <w:i/>
                      <w:iCs/>
                    </w:rPr>
                  </w:pPr>
                  <w:r w:rsidRPr="00E04032">
                    <w:rPr>
                      <w:i/>
                      <w:iCs/>
                    </w:rPr>
                    <w:t>t1r1-t1r2</w:t>
                  </w:r>
                </w:p>
              </w:tc>
            </w:tr>
            <w:tr w:rsidR="00FB3928" w:rsidRPr="00E04032" w:rsidTr="005A6613">
              <w:tc>
                <w:tcPr>
                  <w:tcW w:w="2365" w:type="pct"/>
                </w:tcPr>
                <w:p w:rsidR="00FB3928" w:rsidRPr="00E04032" w:rsidRDefault="00FB3928" w:rsidP="00B13BD1">
                  <w:pPr>
                    <w:pStyle w:val="TAL"/>
                    <w:jc w:val="both"/>
                    <w:rPr>
                      <w:i/>
                      <w:iCs/>
                    </w:rPr>
                  </w:pPr>
                  <w:r w:rsidRPr="00E04032">
                    <w:rPr>
                      <w:i/>
                      <w:iCs/>
                    </w:rPr>
                    <w:t>t1r4</w:t>
                  </w:r>
                </w:p>
              </w:tc>
              <w:tc>
                <w:tcPr>
                  <w:tcW w:w="2635" w:type="pct"/>
                </w:tcPr>
                <w:p w:rsidR="00FB3928" w:rsidRPr="00E04032" w:rsidRDefault="00FB3928" w:rsidP="00B13BD1">
                  <w:pPr>
                    <w:pStyle w:val="TAL"/>
                    <w:jc w:val="both"/>
                    <w:rPr>
                      <w:i/>
                      <w:iCs/>
                    </w:rPr>
                  </w:pPr>
                  <w:r w:rsidRPr="00E04032">
                    <w:rPr>
                      <w:i/>
                      <w:iCs/>
                    </w:rPr>
                    <w:t>t1r1-t1r2-t1r4</w:t>
                  </w:r>
                </w:p>
              </w:tc>
            </w:tr>
            <w:tr w:rsidR="00FB3928" w:rsidRPr="00E04032" w:rsidTr="005A6613">
              <w:tc>
                <w:tcPr>
                  <w:tcW w:w="2365" w:type="pct"/>
                </w:tcPr>
                <w:p w:rsidR="00FB3928" w:rsidRPr="00E04032" w:rsidRDefault="00FB3928" w:rsidP="00B13BD1">
                  <w:pPr>
                    <w:pStyle w:val="TAL"/>
                    <w:jc w:val="both"/>
                    <w:rPr>
                      <w:i/>
                      <w:iCs/>
                    </w:rPr>
                  </w:pPr>
                  <w:r w:rsidRPr="00E04032">
                    <w:rPr>
                      <w:i/>
                      <w:iCs/>
                    </w:rPr>
                    <w:t>t2r4</w:t>
                  </w:r>
                </w:p>
              </w:tc>
              <w:tc>
                <w:tcPr>
                  <w:tcW w:w="2635" w:type="pct"/>
                </w:tcPr>
                <w:p w:rsidR="00FB3928" w:rsidRPr="00E04032" w:rsidRDefault="00FB3928" w:rsidP="00B13BD1">
                  <w:pPr>
                    <w:pStyle w:val="TAL"/>
                    <w:jc w:val="both"/>
                    <w:rPr>
                      <w:i/>
                      <w:iCs/>
                    </w:rPr>
                  </w:pPr>
                  <w:r w:rsidRPr="00E04032">
                    <w:rPr>
                      <w:i/>
                      <w:iCs/>
                    </w:rPr>
                    <w:t>t1r1-t1r2-t2r2-t2r4</w:t>
                  </w:r>
                </w:p>
              </w:tc>
            </w:tr>
            <w:tr w:rsidR="00FB3928" w:rsidRPr="00E04032" w:rsidTr="005A6613">
              <w:tc>
                <w:tcPr>
                  <w:tcW w:w="2365" w:type="pct"/>
                </w:tcPr>
                <w:p w:rsidR="00FB3928" w:rsidRPr="00E04032" w:rsidRDefault="00FB3928" w:rsidP="00B13BD1">
                  <w:pPr>
                    <w:pStyle w:val="TAL"/>
                    <w:jc w:val="both"/>
                    <w:rPr>
                      <w:i/>
                      <w:iCs/>
                    </w:rPr>
                  </w:pPr>
                  <w:r w:rsidRPr="00E04032">
                    <w:rPr>
                      <w:i/>
                      <w:iCs/>
                    </w:rPr>
                    <w:t>t2r2</w:t>
                  </w:r>
                </w:p>
              </w:tc>
              <w:tc>
                <w:tcPr>
                  <w:tcW w:w="2635" w:type="pct"/>
                </w:tcPr>
                <w:p w:rsidR="00FB3928" w:rsidRPr="00E04032" w:rsidRDefault="00FB3928" w:rsidP="00B13BD1">
                  <w:pPr>
                    <w:pStyle w:val="TAL"/>
                    <w:jc w:val="both"/>
                    <w:rPr>
                      <w:i/>
                      <w:iCs/>
                    </w:rPr>
                  </w:pPr>
                  <w:r w:rsidRPr="00E04032">
                    <w:rPr>
                      <w:i/>
                      <w:iCs/>
                    </w:rPr>
                    <w:t>t1r1-t2r2</w:t>
                  </w:r>
                </w:p>
              </w:tc>
            </w:tr>
            <w:tr w:rsidR="00FB3928" w:rsidRPr="00E04032" w:rsidTr="005A6613">
              <w:tc>
                <w:tcPr>
                  <w:tcW w:w="2365" w:type="pct"/>
                </w:tcPr>
                <w:p w:rsidR="00FB3928" w:rsidRPr="00E04032" w:rsidRDefault="00FB3928" w:rsidP="00B13BD1">
                  <w:pPr>
                    <w:pStyle w:val="TAL"/>
                    <w:jc w:val="both"/>
                    <w:rPr>
                      <w:i/>
                      <w:iCs/>
                    </w:rPr>
                  </w:pPr>
                  <w:r w:rsidRPr="00E04032">
                    <w:rPr>
                      <w:i/>
                      <w:iCs/>
                    </w:rPr>
                    <w:t>t4r4</w:t>
                  </w:r>
                </w:p>
              </w:tc>
              <w:tc>
                <w:tcPr>
                  <w:tcW w:w="2635" w:type="pct"/>
                </w:tcPr>
                <w:p w:rsidR="00FB3928" w:rsidRPr="00E04032" w:rsidRDefault="00FB3928" w:rsidP="00B13BD1">
                  <w:pPr>
                    <w:pStyle w:val="TAL"/>
                    <w:jc w:val="both"/>
                    <w:rPr>
                      <w:i/>
                      <w:iCs/>
                    </w:rPr>
                  </w:pPr>
                  <w:r w:rsidRPr="00E04032">
                    <w:rPr>
                      <w:i/>
                      <w:iCs/>
                    </w:rPr>
                    <w:t>t1r1-t2r2-t4r4</w:t>
                  </w:r>
                </w:p>
              </w:tc>
            </w:tr>
            <w:tr w:rsidR="00FB3928" w:rsidRPr="00E04032" w:rsidTr="005A6613">
              <w:tc>
                <w:tcPr>
                  <w:tcW w:w="2365" w:type="pct"/>
                </w:tcPr>
                <w:p w:rsidR="00FB3928" w:rsidRPr="00E04032" w:rsidRDefault="00FB3928" w:rsidP="00B13BD1">
                  <w:pPr>
                    <w:pStyle w:val="TAL"/>
                    <w:jc w:val="both"/>
                    <w:rPr>
                      <w:i/>
                      <w:iCs/>
                    </w:rPr>
                  </w:pPr>
                  <w:r w:rsidRPr="00E04032">
                    <w:rPr>
                      <w:i/>
                      <w:iCs/>
                    </w:rPr>
                    <w:t>t1r4-t2r4</w:t>
                  </w:r>
                </w:p>
              </w:tc>
              <w:tc>
                <w:tcPr>
                  <w:tcW w:w="2635" w:type="pct"/>
                </w:tcPr>
                <w:p w:rsidR="00FB3928" w:rsidRPr="00E04032" w:rsidRDefault="00FB3928" w:rsidP="00B13BD1">
                  <w:pPr>
                    <w:pStyle w:val="TAL"/>
                    <w:jc w:val="both"/>
                    <w:rPr>
                      <w:i/>
                      <w:iCs/>
                    </w:rPr>
                  </w:pPr>
                  <w:r w:rsidRPr="00E04032">
                    <w:rPr>
                      <w:i/>
                      <w:iCs/>
                    </w:rPr>
                    <w:t>t1r1-t1r2-t2r2-t1r4-t2r4</w:t>
                  </w:r>
                </w:p>
              </w:tc>
            </w:tr>
          </w:tbl>
          <w:p w:rsidR="00FB3928" w:rsidRPr="00E04032" w:rsidRDefault="00FB3928" w:rsidP="00B13BD1">
            <w:pPr>
              <w:pStyle w:val="B10"/>
              <w:jc w:val="both"/>
              <w:rPr>
                <w:rFonts w:ascii="Arial" w:hAnsi="Arial" w:cs="Arial"/>
                <w:sz w:val="18"/>
                <w:szCs w:val="18"/>
              </w:rPr>
            </w:pPr>
          </w:p>
          <w:p w:rsidR="00FB3928" w:rsidRPr="00E04032" w:rsidRDefault="00FB3928" w:rsidP="00B13BD1">
            <w:pPr>
              <w:pStyle w:val="B10"/>
              <w:jc w:val="both"/>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proofErr w:type="spellStart"/>
            <w:r w:rsidRPr="00FB3928">
              <w:rPr>
                <w:rFonts w:ascii="Arial" w:hAnsi="Arial" w:cs="Arial"/>
                <w:i/>
                <w:sz w:val="18"/>
                <w:szCs w:val="18"/>
                <w:highlight w:val="yellow"/>
              </w:rPr>
              <w:t>txSwitchImpactToRx</w:t>
            </w:r>
            <w:proofErr w:type="spellEnd"/>
            <w:r w:rsidRPr="00E04032">
              <w:rPr>
                <w:rFonts w:ascii="Arial" w:hAnsi="Arial" w:cs="Arial"/>
                <w:sz w:val="18"/>
                <w:szCs w:val="18"/>
              </w:rPr>
              <w:t xml:space="preserve"> indicates the entry number of the first-listed band with UL (see NOTE) in the band combination that affects this DL, which is mandatory with capability signalling;</w:t>
            </w:r>
          </w:p>
          <w:p w:rsidR="00FB3928" w:rsidRPr="00E04032" w:rsidRDefault="00FB3928" w:rsidP="00B13BD1">
            <w:pPr>
              <w:pStyle w:val="B10"/>
              <w:jc w:val="both"/>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proofErr w:type="spellStart"/>
            <w:r w:rsidRPr="00FB3928">
              <w:rPr>
                <w:rFonts w:ascii="Arial" w:hAnsi="Arial" w:cs="Arial"/>
                <w:i/>
                <w:sz w:val="18"/>
                <w:szCs w:val="18"/>
                <w:highlight w:val="yellow"/>
              </w:rPr>
              <w:t>txSwitchWithAnotherBand</w:t>
            </w:r>
            <w:proofErr w:type="spellEnd"/>
            <w:r w:rsidRPr="00E04032">
              <w:rPr>
                <w:rFonts w:ascii="Arial" w:hAnsi="Arial" w:cs="Arial"/>
                <w:sz w:val="18"/>
                <w:szCs w:val="18"/>
              </w:rPr>
              <w:t xml:space="preserve"> indicates the entry number of the first-listed band with UL (see NOTE) in the band combination that switches together with this UL, which is mandatory with capability signalling.</w:t>
            </w:r>
          </w:p>
          <w:p w:rsidR="00FB3928" w:rsidRPr="00E04032" w:rsidRDefault="00FB3928" w:rsidP="00B13BD1">
            <w:pPr>
              <w:pStyle w:val="TAL"/>
              <w:jc w:val="both"/>
            </w:pPr>
            <w:r w:rsidRPr="00E04032">
              <w:t xml:space="preserve">For </w:t>
            </w:r>
            <w:proofErr w:type="spellStart"/>
            <w:r w:rsidRPr="00E04032">
              <w:rPr>
                <w:i/>
              </w:rPr>
              <w:t>txSwitchImpactToRx</w:t>
            </w:r>
            <w:proofErr w:type="spellEnd"/>
            <w:r w:rsidRPr="00E04032">
              <w:t xml:space="preserve"> and </w:t>
            </w:r>
            <w:proofErr w:type="spellStart"/>
            <w:r w:rsidRPr="00E04032">
              <w:rPr>
                <w:i/>
              </w:rPr>
              <w:t>txSwitchWithAnotherBand</w:t>
            </w:r>
            <w:proofErr w:type="spellEnd"/>
            <w:r w:rsidRPr="00E04032">
              <w:t>, value 1 means first entry, value 2 means second entry and so on. All DL and UL that switch together indicate the same entry number.</w:t>
            </w:r>
          </w:p>
          <w:p w:rsidR="00FB3928" w:rsidRPr="00E04032" w:rsidRDefault="00FB3928" w:rsidP="00B13BD1">
            <w:pPr>
              <w:pStyle w:val="TAL"/>
              <w:jc w:val="both"/>
            </w:pPr>
            <w:r w:rsidRPr="00E04032">
              <w:t xml:space="preserve">The entry number is the band entry number in a band combination. The UE is restricted not to include </w:t>
            </w:r>
            <w:proofErr w:type="spellStart"/>
            <w:r w:rsidRPr="00E04032">
              <w:t>fallback</w:t>
            </w:r>
            <w:proofErr w:type="spellEnd"/>
            <w:r w:rsidRPr="00E04032">
              <w:t xml:space="preserve"> band combinations for the purpose of indicating different SRS antenna switching capabilities.</w:t>
            </w:r>
          </w:p>
          <w:p w:rsidR="00FB3928" w:rsidRPr="00E04032" w:rsidRDefault="00FB3928" w:rsidP="00B13BD1">
            <w:pPr>
              <w:pStyle w:val="TAL"/>
              <w:jc w:val="both"/>
            </w:pPr>
          </w:p>
          <w:p w:rsidR="00FB3928" w:rsidRPr="00E04032" w:rsidRDefault="00FB3928" w:rsidP="00B13BD1">
            <w:pPr>
              <w:pStyle w:val="TAN"/>
              <w:jc w:val="both"/>
            </w:pPr>
            <w:r w:rsidRPr="00E04032">
              <w:rPr>
                <w:rFonts w:eastAsia="等线" w:cs="Arial"/>
                <w:szCs w:val="18"/>
              </w:rPr>
              <w:t>NOTE:</w:t>
            </w:r>
            <w:r w:rsidRPr="00E04032">
              <w:rPr>
                <w:rFonts w:cs="Arial"/>
                <w:szCs w:val="18"/>
              </w:rPr>
              <w:tab/>
            </w:r>
            <w:r w:rsidRPr="00E04032">
              <w:t xml:space="preserve">The first-listed band with UL includes a band associated with </w:t>
            </w:r>
            <w:proofErr w:type="spellStart"/>
            <w:r w:rsidRPr="00E04032">
              <w:rPr>
                <w:i/>
              </w:rPr>
              <w:t>FeatureSetUplinkId</w:t>
            </w:r>
            <w:proofErr w:type="spellEnd"/>
            <w:r w:rsidRPr="00E04032">
              <w:t xml:space="preserve"> set to 0 corresponding to the support of SRS-</w:t>
            </w:r>
            <w:proofErr w:type="spellStart"/>
            <w:r w:rsidRPr="00E04032">
              <w:t>SwitchingTimeNR</w:t>
            </w:r>
            <w:proofErr w:type="spellEnd"/>
            <w:r w:rsidRPr="00E04032">
              <w:t>.</w:t>
            </w:r>
          </w:p>
        </w:tc>
        <w:tc>
          <w:tcPr>
            <w:tcW w:w="709" w:type="dxa"/>
          </w:tcPr>
          <w:p w:rsidR="00FB3928" w:rsidRPr="00E04032" w:rsidRDefault="00FB3928" w:rsidP="00B13BD1">
            <w:pPr>
              <w:pStyle w:val="TAL"/>
              <w:jc w:val="both"/>
            </w:pPr>
            <w:r w:rsidRPr="00E04032">
              <w:t>BC</w:t>
            </w:r>
          </w:p>
        </w:tc>
        <w:tc>
          <w:tcPr>
            <w:tcW w:w="567" w:type="dxa"/>
          </w:tcPr>
          <w:p w:rsidR="00FB3928" w:rsidRPr="00E04032" w:rsidRDefault="00FB3928" w:rsidP="00B13BD1">
            <w:pPr>
              <w:pStyle w:val="TAL"/>
              <w:jc w:val="both"/>
            </w:pPr>
            <w:r w:rsidRPr="00E04032">
              <w:t>FD</w:t>
            </w:r>
          </w:p>
        </w:tc>
        <w:tc>
          <w:tcPr>
            <w:tcW w:w="709" w:type="dxa"/>
          </w:tcPr>
          <w:p w:rsidR="00FB3928" w:rsidRPr="00E04032" w:rsidRDefault="00FB3928" w:rsidP="00B13BD1">
            <w:pPr>
              <w:pStyle w:val="TAL"/>
              <w:jc w:val="both"/>
            </w:pPr>
            <w:r w:rsidRPr="00E04032">
              <w:rPr>
                <w:rFonts w:eastAsia="等线"/>
              </w:rPr>
              <w:t>N/A</w:t>
            </w:r>
          </w:p>
        </w:tc>
        <w:tc>
          <w:tcPr>
            <w:tcW w:w="728" w:type="dxa"/>
          </w:tcPr>
          <w:p w:rsidR="00FB3928" w:rsidRPr="00E04032" w:rsidRDefault="00FB3928" w:rsidP="00B13BD1">
            <w:pPr>
              <w:pStyle w:val="TAL"/>
              <w:jc w:val="both"/>
            </w:pPr>
            <w:r w:rsidRPr="00E04032">
              <w:rPr>
                <w:rFonts w:eastAsia="等线"/>
              </w:rPr>
              <w:t>N/A</w:t>
            </w:r>
          </w:p>
        </w:tc>
      </w:tr>
    </w:tbl>
    <w:p w:rsidR="00FB3928" w:rsidRDefault="00062EC4" w:rsidP="00062EC4">
      <w:pPr>
        <w:spacing w:beforeLines="50" w:before="120"/>
        <w:jc w:val="both"/>
        <w:rPr>
          <w:lang w:val="en-US"/>
        </w:rPr>
      </w:pPr>
      <w:r>
        <w:rPr>
          <w:rFonts w:hint="eastAsia"/>
          <w:lang w:val="en-US"/>
        </w:rPr>
        <w:t>H</w:t>
      </w:r>
      <w:r>
        <w:rPr>
          <w:lang w:val="en-US"/>
        </w:rPr>
        <w:t>owever, it’s not clear what’s the expectation for the UE from the scheduling perspective. The two capability parameters just depict the reality of the implementation, but less guidance on how to mitigate the impact caused by th</w:t>
      </w:r>
      <w:r w:rsidR="000661D6">
        <w:rPr>
          <w:lang w:val="en-US"/>
        </w:rPr>
        <w:t>is specific</w:t>
      </w:r>
      <w:r>
        <w:rPr>
          <w:lang w:val="en-US"/>
        </w:rPr>
        <w:t xml:space="preserve"> SRS feature. </w:t>
      </w:r>
    </w:p>
    <w:p w:rsidR="005369EE" w:rsidRDefault="00CF1CF2" w:rsidP="00B13BD1">
      <w:pPr>
        <w:jc w:val="both"/>
        <w:rPr>
          <w:lang w:val="en-US"/>
        </w:rPr>
      </w:pPr>
      <w:r>
        <w:rPr>
          <w:rFonts w:hint="eastAsia"/>
          <w:lang w:val="en-US"/>
        </w:rPr>
        <w:t>O</w:t>
      </w:r>
      <w:r>
        <w:rPr>
          <w:lang w:val="en-US"/>
        </w:rPr>
        <w:t>n the contrary, scheduling restriction is considered in RAN1 LTE specification TS 36.213 clause 8.2:</w:t>
      </w:r>
    </w:p>
    <w:tbl>
      <w:tblPr>
        <w:tblStyle w:val="TableGrid"/>
        <w:tblW w:w="0" w:type="auto"/>
        <w:tblLook w:val="04A0" w:firstRow="1" w:lastRow="0" w:firstColumn="1" w:lastColumn="0" w:noHBand="0" w:noVBand="1"/>
      </w:tblPr>
      <w:tblGrid>
        <w:gridCol w:w="9631"/>
      </w:tblGrid>
      <w:tr w:rsidR="00CF1CF2" w:rsidTr="00CF1CF2">
        <w:tc>
          <w:tcPr>
            <w:tcW w:w="9631" w:type="dxa"/>
          </w:tcPr>
          <w:p w:rsidR="00CF1CF2" w:rsidRPr="00730023" w:rsidRDefault="00CF1CF2" w:rsidP="00CF1CF2">
            <w:r w:rsidRPr="00730023">
              <w:t>For trigger type 0 and type 1 SRS transmission, w</w:t>
            </w:r>
            <w:r w:rsidRPr="00730023">
              <w:rPr>
                <w:rFonts w:hint="eastAsia"/>
              </w:rPr>
              <w:t xml:space="preserve">hen </w:t>
            </w:r>
            <w:r w:rsidRPr="00730023">
              <w:t xml:space="preserve">closed-loop or open-loop UE transmit </w:t>
            </w:r>
            <w:r w:rsidRPr="00730023">
              <w:rPr>
                <w:rFonts w:hint="eastAsia"/>
              </w:rPr>
              <w:t xml:space="preserve">antenna selection is enabled </w:t>
            </w:r>
            <w:r w:rsidRPr="00730023">
              <w:t xml:space="preserve">for a given serving cell </w:t>
            </w:r>
            <w:r w:rsidRPr="00730023">
              <w:rPr>
                <w:rFonts w:hint="eastAsia"/>
              </w:rPr>
              <w:t>for a</w:t>
            </w:r>
            <w:r w:rsidRPr="00730023">
              <w:t xml:space="preserve"> UE that supports transmit antenna selection, or for a UE that can be configured with </w:t>
            </w:r>
            <w:r w:rsidRPr="00730023">
              <w:rPr>
                <w:i/>
              </w:rPr>
              <w:t>ue-TxAntennaSelection-SRS-1T4R-Config</w:t>
            </w:r>
            <w:r w:rsidRPr="00730023">
              <w:rPr>
                <w:lang w:eastAsia="ko-KR"/>
              </w:rPr>
              <w:t xml:space="preserve"> or </w:t>
            </w:r>
            <w:r w:rsidRPr="00730023">
              <w:rPr>
                <w:i/>
              </w:rPr>
              <w:t>ue-TxAntennaSelection-SRS-2T4R-NrOfPairs</w:t>
            </w:r>
            <w:r w:rsidRPr="00730023">
              <w:rPr>
                <w:i/>
                <w:lang w:eastAsia="ko-KR"/>
              </w:rPr>
              <w:t>,</w:t>
            </w:r>
          </w:p>
          <w:p w:rsidR="00CF1CF2" w:rsidRPr="00730023" w:rsidRDefault="00CF1CF2" w:rsidP="00CF1CF2">
            <w:pPr>
              <w:pStyle w:val="B10"/>
              <w:numPr>
                <w:ilvl w:val="0"/>
                <w:numId w:val="45"/>
              </w:numPr>
              <w:overflowPunct/>
              <w:autoSpaceDE/>
              <w:autoSpaceDN/>
              <w:adjustRightInd/>
              <w:textAlignment w:val="auto"/>
              <w:rPr>
                <w:lang w:eastAsia="ko-KR"/>
              </w:rPr>
            </w:pPr>
            <w:r w:rsidRPr="00730023">
              <w:rPr>
                <w:lang w:eastAsia="ko-KR"/>
              </w:rPr>
              <w:t>w</w:t>
            </w:r>
            <w:r w:rsidRPr="00730023">
              <w:rPr>
                <w:rFonts w:hint="eastAsia"/>
                <w:lang w:eastAsia="ko-KR"/>
              </w:rPr>
              <w:t>hen</w:t>
            </w:r>
            <w:r w:rsidRPr="00730023">
              <w:rPr>
                <w:lang w:eastAsia="ko-KR"/>
              </w:rPr>
              <w:t xml:space="preserve"> higher layer parameter </w:t>
            </w:r>
            <w:r w:rsidR="006F71B8">
              <w:rPr>
                <w:lang w:eastAsia="ko-KR"/>
              </w:rPr>
              <w:t>‘</w:t>
            </w:r>
            <w:r w:rsidRPr="00730023">
              <w:rPr>
                <w:i/>
              </w:rPr>
              <w:t>ue-TxAntennaSelection-SRS-1T4R-Config</w:t>
            </w:r>
            <w:r w:rsidR="006F71B8">
              <w:rPr>
                <w:lang w:eastAsia="ko-KR"/>
              </w:rPr>
              <w:t>’</w:t>
            </w:r>
            <w:r w:rsidRPr="00730023">
              <w:rPr>
                <w:rFonts w:hint="eastAsia"/>
                <w:lang w:eastAsia="ko-KR"/>
              </w:rPr>
              <w:t xml:space="preserve"> is </w:t>
            </w:r>
            <w:r w:rsidRPr="00730023">
              <w:rPr>
                <w:lang w:eastAsia="ko-KR"/>
              </w:rPr>
              <w:t xml:space="preserve">configured 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730023">
              <w:rPr>
                <w:lang w:eastAsia="ko-KR"/>
              </w:rPr>
              <w:t xml:space="preserve">, of the UE antenna that transmits the SRS at time </w:t>
            </w:r>
            <w:proofErr w:type="spellStart"/>
            <w:r w:rsidRPr="00730023">
              <w:rPr>
                <w:i/>
                <w:lang w:eastAsia="ko-KR"/>
              </w:rPr>
              <w:t>n</w:t>
            </w:r>
            <w:r w:rsidRPr="00730023">
              <w:rPr>
                <w:rFonts w:hint="eastAsia"/>
                <w:i/>
                <w:vertAlign w:val="subscript"/>
                <w:lang w:eastAsia="ko-KR"/>
              </w:rPr>
              <w:t>SRS</w:t>
            </w:r>
            <w:proofErr w:type="spellEnd"/>
            <w:r w:rsidRPr="00730023">
              <w:rPr>
                <w:lang w:eastAsia="ko-KR"/>
              </w:rPr>
              <w:t xml:space="preserve"> </w:t>
            </w:r>
            <w:r w:rsidRPr="00730023">
              <w:rPr>
                <w:rFonts w:hint="eastAsia"/>
                <w:lang w:eastAsia="ko-KR"/>
              </w:rPr>
              <w:t>is given by</w:t>
            </w:r>
          </w:p>
          <w:p w:rsidR="00CF1CF2" w:rsidRPr="00730023" w:rsidRDefault="00CF1CF2" w:rsidP="00CF1CF2">
            <w:pPr>
              <w:pStyle w:val="B10"/>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730023">
              <w:rPr>
                <w:rFonts w:eastAsiaTheme="minorEastAsia" w:hint="eastAsia"/>
              </w:rPr>
              <w:t>,</w:t>
            </w:r>
            <w:r w:rsidRPr="00730023">
              <w:rPr>
                <w:rFonts w:eastAsiaTheme="minorEastAsia"/>
              </w:rPr>
              <w:t xml:space="preserve"> </w:t>
            </w:r>
            <w:r w:rsidRPr="00730023">
              <w:rPr>
                <w:rFonts w:hint="eastAsia"/>
                <w:lang w:eastAsia="ko-KR"/>
              </w:rPr>
              <w:t xml:space="preserve">for both partial and full sounding bandwidth, and </w:t>
            </w:r>
            <w:r w:rsidRPr="00730023">
              <w:rPr>
                <w:lang w:eastAsia="ko-KR"/>
              </w:rPr>
              <w:t>when frequency hopping is disabled</w:t>
            </w:r>
            <w:r w:rsidRPr="00730023">
              <w:rPr>
                <w:rFonts w:hint="eastAsia"/>
                <w:lang w:eastAsia="ko-KR"/>
              </w:rPr>
              <w:t xml:space="preserve"> (i.e.,</w:t>
            </w:r>
            <w:r w:rsidRPr="00730023">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rPr>
                  </m:ctrlPr>
                </m:sSubPr>
                <m:e>
                  <m:r>
                    <w:rPr>
                      <w:rFonts w:ascii="Cambria Math" w:eastAsiaTheme="minorEastAsia" w:hAnsi="Cambria Math"/>
                    </w:rPr>
                    <m:t>B</m:t>
                  </m:r>
                  <m:ctrlPr>
                    <w:rPr>
                      <w:rFonts w:ascii="Cambria Math" w:hAnsi="Cambria Math"/>
                      <w:i/>
                      <w:lang w:eastAsia="ko-KR"/>
                    </w:rPr>
                  </m:ctrlPr>
                </m:e>
                <m:sub>
                  <m:r>
                    <w:rPr>
                      <w:rFonts w:ascii="Cambria Math" w:eastAsiaTheme="minorEastAsia" w:hAnsi="Cambria Math"/>
                    </w:rPr>
                    <m:t>SRS</m:t>
                  </m:r>
                </m:sub>
              </m:sSub>
            </m:oMath>
            <w:r w:rsidRPr="00730023">
              <w:rPr>
                <w:rFonts w:hint="eastAsia"/>
                <w:lang w:eastAsia="ko-KR"/>
              </w:rPr>
              <w:t>)</w:t>
            </w:r>
            <w:r w:rsidRPr="00730023">
              <w:rPr>
                <w:lang w:eastAsia="ko-KR"/>
              </w:rPr>
              <w:t xml:space="preserve">, </w:t>
            </w:r>
          </w:p>
          <w:p w:rsidR="00CF1CF2" w:rsidRPr="00730023" w:rsidRDefault="00CF1CF2" w:rsidP="00CF1CF2">
            <w:pPr>
              <w:pStyle w:val="EQ"/>
            </w:pPr>
            <m:oMathPara>
              <m:oMath>
                <m:r>
                  <w:rPr>
                    <w:rFonts w:ascii="Cambria Math" w:hAnsi="Cambria Math"/>
                  </w:rPr>
                  <w:lastRenderedPageBreak/>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hAnsi="Cambria Math"/>
                        <w:snapToGrid w:val="0"/>
                        <w:sz w:val="21"/>
                        <w:szCs w:val="21"/>
                        <w:lang w:val="en-US"/>
                      </w:rPr>
                    </m:ctrlPr>
                  </m:dPr>
                  <m:e>
                    <m:m>
                      <m:mPr>
                        <m:mcs>
                          <m:mc>
                            <m:mcPr>
                              <m:count m:val="2"/>
                              <m:mcJc m:val="center"/>
                            </m:mcPr>
                          </m:mc>
                        </m:mcs>
                        <m:ctrlPr>
                          <w:rPr>
                            <w:rFonts w:ascii="Cambria Math" w:hAnsi="Cambria Math"/>
                            <w:snapToGrid w:val="0"/>
                            <w:sz w:val="21"/>
                            <w:szCs w:val="21"/>
                            <w:lang w:val="en-US"/>
                          </w:rPr>
                        </m:ctrlPr>
                      </m:mPr>
                      <m:mr>
                        <m:e>
                          <m:d>
                            <m:dPr>
                              <m:ctrlPr>
                                <w:rPr>
                                  <w:rFonts w:ascii="Cambria Math" w:hAnsi="Cambria Math"/>
                                  <w:snapToGrid w:val="0"/>
                                  <w:sz w:val="21"/>
                                  <w:szCs w:val="21"/>
                                  <w:lang w:val="en-US"/>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hAnsi="Cambria Math"/>
                                      <w:snapToGrid w:val="0"/>
                                      <w:sz w:val="21"/>
                                      <w:szCs w:val="21"/>
                                      <w:lang w:val="en-US"/>
                                    </w:rPr>
                                  </m:ctrlPr>
                                </m:dPr>
                                <m:e>
                                  <m:f>
                                    <m:fPr>
                                      <m:ctrlPr>
                                        <w:rPr>
                                          <w:rFonts w:ascii="Cambria Math" w:hAnsi="Cambria Math"/>
                                          <w:snapToGrid w:val="0"/>
                                          <w:sz w:val="21"/>
                                          <w:szCs w:val="21"/>
                                          <w:lang w:val="en-US"/>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hAnsi="Cambria Math"/>
                                              <w:snapToGrid w:val="0"/>
                                              <w:sz w:val="21"/>
                                              <w:szCs w:val="21"/>
                                              <w:lang w:val="en-US"/>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hAnsi="Cambria Math"/>
                                      <w:snapToGrid w:val="0"/>
                                      <w:sz w:val="21"/>
                                      <w:szCs w:val="21"/>
                                      <w:lang w:val="en-US"/>
                                    </w:rPr>
                                  </m:ctrlPr>
                                </m:dPr>
                                <m:e>
                                  <m:d>
                                    <m:dPr>
                                      <m:begChr m:val="⌊"/>
                                      <m:endChr m:val="⌋"/>
                                      <m:ctrlPr>
                                        <w:rPr>
                                          <w:rFonts w:ascii="Cambria Math" w:hAnsi="Cambria Math"/>
                                          <w:snapToGrid w:val="0"/>
                                          <w:sz w:val="21"/>
                                          <w:szCs w:val="21"/>
                                          <w:lang w:val="en-US"/>
                                        </w:rPr>
                                      </m:ctrlPr>
                                    </m:dPr>
                                    <m:e>
                                      <m:f>
                                        <m:fPr>
                                          <m:ctrlPr>
                                            <w:rPr>
                                              <w:rFonts w:ascii="Cambria Math" w:hAnsi="Cambria Math"/>
                                              <w:snapToGrid w:val="0"/>
                                              <w:sz w:val="21"/>
                                              <w:szCs w:val="21"/>
                                              <w:lang w:val="en-US"/>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hAnsi="Cambria Math"/>
                                          <w:snapToGrid w:val="0"/>
                                          <w:sz w:val="21"/>
                                          <w:szCs w:val="21"/>
                                          <w:lang w:val="en-US"/>
                                        </w:rPr>
                                      </m:ctrlPr>
                                    </m:dPr>
                                    <m:e>
                                      <m:f>
                                        <m:fPr>
                                          <m:ctrlPr>
                                            <w:rPr>
                                              <w:rFonts w:ascii="Cambria Math" w:hAnsi="Cambria Math"/>
                                              <w:snapToGrid w:val="0"/>
                                              <w:sz w:val="21"/>
                                              <w:szCs w:val="21"/>
                                              <w:lang w:val="en-US"/>
                                            </w:rPr>
                                          </m:ctrlPr>
                                        </m:fPr>
                                        <m:num>
                                          <m:r>
                                            <m:rPr>
                                              <m:sty m:val="p"/>
                                            </m:rPr>
                                            <w:rPr>
                                              <w:rFonts w:ascii="Cambria Math" w:hAnsi="Cambria Math"/>
                                            </w:rPr>
                                            <m:t>max</m:t>
                                          </m:r>
                                          <m:d>
                                            <m:dPr>
                                              <m:ctrlPr>
                                                <w:rPr>
                                                  <w:rFonts w:ascii="Cambria Math" w:hAnsi="Cambria Math"/>
                                                  <w:snapToGrid w:val="0"/>
                                                  <w:sz w:val="21"/>
                                                  <w:szCs w:val="21"/>
                                                  <w:lang w:val="en-US"/>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rsidR="00CF1CF2" w:rsidRPr="00730023" w:rsidRDefault="00CF1CF2" w:rsidP="00CF1CF2">
            <w:pPr>
              <w:pStyle w:val="B10"/>
              <w:overflowPunct/>
              <w:autoSpaceDE/>
              <w:autoSpaceDN/>
              <w:adjustRightInd/>
              <w:ind w:left="560" w:firstLine="0"/>
              <w:textAlignment w:val="auto"/>
              <w:rPr>
                <w:lang w:eastAsia="ko-KR"/>
              </w:rPr>
            </w:pPr>
            <w:r w:rsidRPr="00730023">
              <w:rPr>
                <w:rFonts w:eastAsiaTheme="minorEastAsia"/>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730023">
              <w:t xml:space="preserve">, </w:t>
            </w:r>
            <w:r w:rsidRPr="00730023">
              <w:rPr>
                <w:lang w:eastAsia="ko-KR"/>
              </w:rPr>
              <w:t>when frequency hopping is enabled</w:t>
            </w:r>
            <w:r w:rsidRPr="00730023">
              <w:rPr>
                <w:rFonts w:hint="eastAsia"/>
                <w:lang w:eastAsia="ko-KR"/>
              </w:rPr>
              <w:t xml:space="preserve"> (i.e.,</w:t>
            </w:r>
            <w:r w:rsidRPr="00730023">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rPr>
                  </m:ctrlPr>
                </m:sSubPr>
                <m:e>
                  <m:r>
                    <w:rPr>
                      <w:rFonts w:ascii="Cambria Math" w:eastAsiaTheme="minorEastAsia" w:hAnsi="Cambria Math"/>
                    </w:rPr>
                    <m:t>B</m:t>
                  </m:r>
                  <m:ctrlPr>
                    <w:rPr>
                      <w:rFonts w:ascii="Cambria Math" w:hAnsi="Cambria Math"/>
                      <w:i/>
                      <w:lang w:eastAsia="ko-KR"/>
                    </w:rPr>
                  </m:ctrlPr>
                </m:e>
                <m:sub>
                  <m:r>
                    <w:rPr>
                      <w:rFonts w:ascii="Cambria Math" w:eastAsiaTheme="minorEastAsia" w:hAnsi="Cambria Math"/>
                    </w:rPr>
                    <m:t>SRS</m:t>
                  </m:r>
                </m:sub>
              </m:sSub>
            </m:oMath>
            <w:r w:rsidRPr="00730023">
              <w:rPr>
                <w:rFonts w:hint="eastAsia"/>
                <w:lang w:eastAsia="ko-KR"/>
              </w:rPr>
              <w:t>)</w:t>
            </w:r>
            <w:r w:rsidRPr="00730023">
              <w:rPr>
                <w:lang w:eastAsia="ko-KR"/>
              </w:rPr>
              <w:t>.</w:t>
            </w:r>
          </w:p>
          <w:p w:rsidR="00CF1CF2" w:rsidRPr="00730023" w:rsidRDefault="00CF1CF2" w:rsidP="00CF1CF2">
            <w:pPr>
              <w:pStyle w:val="B10"/>
              <w:numPr>
                <w:ilvl w:val="0"/>
                <w:numId w:val="45"/>
              </w:numPr>
              <w:overflowPunct/>
              <w:autoSpaceDE/>
              <w:autoSpaceDN/>
              <w:adjustRightInd/>
              <w:textAlignment w:val="auto"/>
              <w:rPr>
                <w:lang w:eastAsia="ko-KR"/>
              </w:rPr>
            </w:pPr>
            <w:r w:rsidRPr="00730023">
              <w:rPr>
                <w:lang w:eastAsia="ko-KR"/>
              </w:rPr>
              <w:t xml:space="preserve">when higher layer parameter </w:t>
            </w:r>
            <w:r w:rsidR="006F71B8">
              <w:rPr>
                <w:lang w:eastAsia="ko-KR"/>
              </w:rPr>
              <w:t>‘</w:t>
            </w:r>
            <w:r w:rsidRPr="00730023">
              <w:rPr>
                <w:i/>
              </w:rPr>
              <w:t>ue-TxAntennaSelection-SRS-2T4R-NrOfPairs</w:t>
            </w:r>
            <w:r w:rsidR="006F71B8">
              <w:rPr>
                <w:lang w:eastAsia="ko-KR"/>
              </w:rPr>
              <w:t>’</w:t>
            </w:r>
            <w:r w:rsidRPr="00730023">
              <w:rPr>
                <w:lang w:eastAsia="ko-KR"/>
              </w:rPr>
              <w:t xml:space="preserve"> is configured for a given serving cell for a UE configured</w:t>
            </w:r>
            <w:r w:rsidRPr="00730023">
              <w:t xml:space="preserve"> </w:t>
            </w:r>
            <w:r w:rsidRPr="00730023">
              <w:rPr>
                <w:lang w:eastAsia="ko-KR"/>
              </w:rPr>
              <w:t xml:space="preserve">with </w:t>
            </w:r>
            <m:oMath>
              <m:r>
                <m:rPr>
                  <m:sty m:val="p"/>
                </m:rPr>
                <w:rPr>
                  <w:rFonts w:ascii="Cambria Math" w:hAnsi="Cambria Math"/>
                </w:rPr>
                <m:t>Λ</m:t>
              </m:r>
            </m:oMath>
            <w:r w:rsidRPr="00730023">
              <w:t xml:space="preserve"> UE antenna pairs, where </w:t>
            </w:r>
            <m:oMath>
              <m:r>
                <m:rPr>
                  <m:sty m:val="p"/>
                </m:rPr>
                <w:rPr>
                  <w:rFonts w:ascii="Cambria Math" w:hAnsi="Cambria Math"/>
                </w:rPr>
                <m:t>Λ={2 or 3}</m:t>
              </m:r>
            </m:oMath>
            <w:r w:rsidRPr="00730023">
              <w:t xml:space="preserve"> is given by higher layer parameter </w:t>
            </w:r>
            <w:r w:rsidR="006F71B8">
              <w:rPr>
                <w:i/>
              </w:rPr>
              <w:t>‘</w:t>
            </w:r>
            <w:r w:rsidRPr="00730023">
              <w:rPr>
                <w:i/>
              </w:rPr>
              <w:t>ue-TxAntennaSelection-SRS-2T4R-NrOfPairs</w:t>
            </w:r>
            <w:r w:rsidR="006F71B8">
              <w:rPr>
                <w:i/>
              </w:rPr>
              <w:t>’</w:t>
            </w:r>
            <w:r w:rsidRPr="00730023">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730023">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730023">
              <w:rPr>
                <w:lang w:eastAsia="ko-KR"/>
              </w:rPr>
              <w:t xml:space="preserve"> when </w:t>
            </w:r>
            <m:oMath>
              <m:r>
                <m:rPr>
                  <m:sty m:val="p"/>
                </m:rPr>
                <w:rPr>
                  <w:rFonts w:ascii="Cambria Math" w:hAnsi="Cambria Math"/>
                </w:rPr>
                <m:t>Λ</m:t>
              </m:r>
            </m:oMath>
            <w:r w:rsidRPr="00730023">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730023">
              <w:rPr>
                <w:lang w:eastAsia="ko-KR"/>
              </w:rPr>
              <w:t xml:space="preserve"> when </w:t>
            </w:r>
            <m:oMath>
              <m:r>
                <m:rPr>
                  <m:sty m:val="p"/>
                </m:rPr>
                <w:rPr>
                  <w:rFonts w:ascii="Cambria Math" w:hAnsi="Cambria Math"/>
                </w:rPr>
                <m:t>Λ</m:t>
              </m:r>
            </m:oMath>
            <w:r w:rsidRPr="00730023">
              <w:rPr>
                <w:lang w:eastAsia="ko-KR"/>
              </w:rPr>
              <w:t xml:space="preserve"> =3 that transmits the SRS at time </w:t>
            </w:r>
            <w:proofErr w:type="spellStart"/>
            <w:r w:rsidRPr="00730023">
              <w:rPr>
                <w:i/>
                <w:lang w:eastAsia="ko-KR"/>
              </w:rPr>
              <w:t>n</w:t>
            </w:r>
            <w:r w:rsidRPr="00730023">
              <w:rPr>
                <w:i/>
                <w:vertAlign w:val="subscript"/>
                <w:lang w:eastAsia="ko-KR"/>
              </w:rPr>
              <w:t>SRS</w:t>
            </w:r>
            <w:proofErr w:type="spellEnd"/>
            <w:r w:rsidRPr="00730023">
              <w:rPr>
                <w:lang w:eastAsia="ko-KR"/>
              </w:rPr>
              <w:t xml:space="preserve"> is given by </w:t>
            </w:r>
          </w:p>
          <w:p w:rsidR="00CF1CF2" w:rsidRPr="00730023" w:rsidRDefault="00CF1CF2" w:rsidP="00CF1CF2">
            <w:pPr>
              <w:pStyle w:val="B10"/>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rPr>
                <m:t>Λ</m:t>
              </m:r>
            </m:oMath>
            <w:r w:rsidRPr="00730023">
              <w:t xml:space="preserve"> </w:t>
            </w:r>
            <w:r w:rsidRPr="00730023">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rPr>
                  </m:ctrlPr>
                </m:sSubPr>
                <m:e>
                  <m:r>
                    <w:rPr>
                      <w:rFonts w:ascii="Cambria Math" w:eastAsiaTheme="minorEastAsia" w:hAnsi="Cambria Math"/>
                    </w:rPr>
                    <m:t>B</m:t>
                  </m:r>
                  <m:ctrlPr>
                    <w:rPr>
                      <w:rFonts w:ascii="Cambria Math" w:hAnsi="Cambria Math"/>
                      <w:i/>
                      <w:lang w:eastAsia="ko-KR"/>
                    </w:rPr>
                  </m:ctrlPr>
                </m:e>
                <m:sub>
                  <m:r>
                    <w:rPr>
                      <w:rFonts w:ascii="Cambria Math" w:eastAsiaTheme="minorEastAsia" w:hAnsi="Cambria Math"/>
                    </w:rPr>
                    <m:t>SRS</m:t>
                  </m:r>
                </m:sub>
              </m:sSub>
            </m:oMath>
            <w:r w:rsidRPr="00730023">
              <w:rPr>
                <w:lang w:eastAsia="ko-KR"/>
              </w:rPr>
              <w:t>),</w:t>
            </w:r>
          </w:p>
          <w:p w:rsidR="00CF1CF2" w:rsidRPr="00730023" w:rsidRDefault="00CF1CF2" w:rsidP="00CF1CF2">
            <w:pPr>
              <w:pStyle w:val="B10"/>
              <w:overflowPunct/>
              <w:autoSpaceDE/>
              <w:autoSpaceDN/>
              <w:adjustRightInd/>
              <w:ind w:left="560" w:firstLine="0"/>
              <w:textAlignment w:val="auto"/>
              <w:rPr>
                <w:rFonts w:eastAsiaTheme="minorEastAsia"/>
              </w:rPr>
            </w:pPr>
            <w:r w:rsidRPr="00730023">
              <w:rPr>
                <w:noProof/>
              </w:rPr>
              <w:drawing>
                <wp:inline distT="0" distB="0" distL="0" distR="0" wp14:anchorId="58BE4305" wp14:editId="161DED83">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14035" cy="662199"/>
                          </a:xfrm>
                          <a:prstGeom prst="rect">
                            <a:avLst/>
                          </a:prstGeom>
                        </pic:spPr>
                      </pic:pic>
                    </a:graphicData>
                  </a:graphic>
                </wp:inline>
              </w:drawing>
            </w:r>
          </w:p>
          <w:p w:rsidR="00CF1CF2" w:rsidRPr="00730023" w:rsidRDefault="00CF1CF2" w:rsidP="00CF1CF2">
            <w:pPr>
              <w:pStyle w:val="B10"/>
              <w:overflowPunct/>
              <w:autoSpaceDE/>
              <w:autoSpaceDN/>
              <w:adjustRightInd/>
              <w:ind w:left="560" w:firstLine="0"/>
              <w:textAlignment w:val="auto"/>
              <w:rPr>
                <w:lang w:eastAsia="ko-KR"/>
              </w:rPr>
            </w:pPr>
            <w:r w:rsidRPr="00730023">
              <w:rPr>
                <w:rFonts w:eastAsiaTheme="minorEastAsia"/>
              </w:rPr>
              <w:t xml:space="preserve">with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rPr>
                            </m:ctrlPr>
                          </m:sSupPr>
                          <m:e>
                            <m:r>
                              <m:rPr>
                                <m:sty m:val="p"/>
                              </m:rPr>
                              <w:rPr>
                                <w:rFonts w:ascii="Cambria Math" w:hAnsi="Cambria Math"/>
                              </w:rPr>
                              <m:t>Λ</m:t>
                            </m:r>
                          </m:e>
                          <m:sup>
                            <m:r>
                              <w:rPr>
                                <w:rFonts w:ascii="Cambria Math" w:hAnsi="Cambria Math"/>
                              </w:rPr>
                              <m:t>2</m:t>
                            </m:r>
                          </m:sup>
                        </m:sSup>
                        <m:r>
                          <m:rPr>
                            <m:sty m:val="p"/>
                          </m:rPr>
                          <w:rPr>
                            <w:rFonts w:ascii="Cambria Math" w:hAnsi="Cambria Math"/>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730023">
              <w:rPr>
                <w:rFonts w:eastAsiaTheme="minorEastAsia"/>
              </w:rPr>
              <w:t xml:space="preserve"> </w:t>
            </w:r>
            <w:r w:rsidRPr="00730023">
              <w:t xml:space="preserve">, </w:t>
            </w:r>
            <w:r w:rsidRPr="00730023">
              <w:rPr>
                <w:lang w:eastAsia="ko-KR"/>
              </w:rPr>
              <w:t>when frequency hopping is enabled</w:t>
            </w:r>
            <w:r w:rsidRPr="00730023">
              <w:rPr>
                <w:rFonts w:hint="eastAsia"/>
                <w:lang w:eastAsia="ko-KR"/>
              </w:rPr>
              <w:t xml:space="preserve"> (i.e.,</w:t>
            </w:r>
            <w:r w:rsidRPr="00730023">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rPr>
                  </m:ctrlPr>
                </m:sSubPr>
                <m:e>
                  <m:r>
                    <w:rPr>
                      <w:rFonts w:ascii="Cambria Math" w:eastAsiaTheme="minorEastAsia" w:hAnsi="Cambria Math"/>
                    </w:rPr>
                    <m:t>B</m:t>
                  </m:r>
                  <m:ctrlPr>
                    <w:rPr>
                      <w:rFonts w:ascii="Cambria Math" w:hAnsi="Cambria Math"/>
                      <w:i/>
                      <w:lang w:eastAsia="ko-KR"/>
                    </w:rPr>
                  </m:ctrlPr>
                </m:e>
                <m:sub>
                  <m:r>
                    <w:rPr>
                      <w:rFonts w:ascii="Cambria Math" w:eastAsiaTheme="minorEastAsia" w:hAnsi="Cambria Math"/>
                    </w:rPr>
                    <m:t>SRS</m:t>
                  </m:r>
                </m:sub>
              </m:sSub>
            </m:oMath>
            <w:r w:rsidRPr="00730023">
              <w:rPr>
                <w:rFonts w:hint="eastAsia"/>
                <w:lang w:eastAsia="ko-KR"/>
              </w:rPr>
              <w:t>)</w:t>
            </w:r>
            <w:r w:rsidRPr="00730023">
              <w:rPr>
                <w:lang w:eastAsia="ko-KR"/>
              </w:rPr>
              <w:t>.</w:t>
            </w:r>
          </w:p>
          <w:p w:rsidR="00CF1CF2" w:rsidRPr="00730023" w:rsidRDefault="00CF1CF2" w:rsidP="00CF1CF2">
            <w:pPr>
              <w:pStyle w:val="B10"/>
            </w:pPr>
            <w:r w:rsidRPr="00730023">
              <w:t>-</w:t>
            </w:r>
            <w:r w:rsidRPr="00730023">
              <w:tab/>
              <w:t xml:space="preserve">otherwise, the index </w:t>
            </w:r>
            <w:r w:rsidRPr="00730023">
              <w:rPr>
                <w:noProof/>
                <w:position w:val="-10"/>
              </w:rPr>
              <w:drawing>
                <wp:inline distT="0" distB="0" distL="0" distR="0" wp14:anchorId="152D7423" wp14:editId="0BCD296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730023">
              <w:t xml:space="preserve">, of the UE antenna that transmits the SRS at time </w:t>
            </w:r>
            <w:proofErr w:type="spellStart"/>
            <w:r w:rsidRPr="00730023">
              <w:rPr>
                <w:i/>
              </w:rPr>
              <w:t>n</w:t>
            </w:r>
            <w:r w:rsidRPr="00730023">
              <w:rPr>
                <w:i/>
                <w:vertAlign w:val="subscript"/>
              </w:rPr>
              <w:t>SRS</w:t>
            </w:r>
            <w:proofErr w:type="spellEnd"/>
            <w:r w:rsidRPr="00730023">
              <w:t xml:space="preserve"> is given by</w:t>
            </w:r>
          </w:p>
          <w:p w:rsidR="00CF1CF2" w:rsidRPr="00730023" w:rsidRDefault="00CF1CF2" w:rsidP="00CF1CF2">
            <w:pPr>
              <w:pStyle w:val="B10"/>
            </w:pPr>
            <w:r w:rsidRPr="00730023">
              <w:rPr>
                <w:noProof/>
                <w:position w:val="-10"/>
                <w:sz w:val="24"/>
                <w:szCs w:val="24"/>
              </w:rPr>
              <w:drawing>
                <wp:inline distT="0" distB="0" distL="0" distR="0" wp14:anchorId="58B9065D" wp14:editId="4D360A5B">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730023">
              <w:rPr>
                <w:sz w:val="24"/>
                <w:szCs w:val="24"/>
              </w:rPr>
              <w:t xml:space="preserve">, </w:t>
            </w:r>
            <w:r w:rsidRPr="00730023">
              <w:rPr>
                <w:rFonts w:hint="eastAsia"/>
              </w:rPr>
              <w:t>for both partial and full sounding bandwidth</w:t>
            </w:r>
            <w:r w:rsidRPr="00730023">
              <w:rPr>
                <w:rFonts w:hint="eastAsia"/>
                <w:sz w:val="24"/>
                <w:szCs w:val="24"/>
              </w:rPr>
              <w:t xml:space="preserve">, </w:t>
            </w:r>
            <w:r w:rsidRPr="00730023">
              <w:rPr>
                <w:rFonts w:hint="eastAsia"/>
              </w:rPr>
              <w:t xml:space="preserve">and </w:t>
            </w:r>
            <w:r w:rsidRPr="00730023">
              <w:t>when frequency hopping is disabled</w:t>
            </w:r>
            <w:r w:rsidRPr="00730023">
              <w:rPr>
                <w:rFonts w:ascii="MS Mincho" w:eastAsia="MS Mincho" w:hAnsi="MS Mincho" w:hint="eastAsia"/>
              </w:rPr>
              <w:t xml:space="preserve"> </w:t>
            </w:r>
            <w:r w:rsidRPr="00730023">
              <w:rPr>
                <w:rFonts w:hint="eastAsia"/>
              </w:rPr>
              <w:t>(i.e.,</w:t>
            </w:r>
            <w:r w:rsidRPr="00730023">
              <w:t xml:space="preserve"> </w:t>
            </w:r>
            <w:r w:rsidRPr="00730023">
              <w:rPr>
                <w:rFonts w:eastAsia="MS Mincho" w:cs="Arial"/>
                <w:noProof/>
                <w:position w:val="-14"/>
              </w:rPr>
              <w:drawing>
                <wp:inline distT="0" distB="0" distL="0" distR="0" wp14:anchorId="2D382678" wp14:editId="5E28822A">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730023">
              <w:rPr>
                <w:rFonts w:eastAsia="MS Mincho" w:cs="Arial" w:hint="eastAsia"/>
              </w:rPr>
              <w:t>)</w:t>
            </w:r>
            <w:r w:rsidRPr="00730023">
              <w:t>,</w:t>
            </w:r>
          </w:p>
          <w:p w:rsidR="00CF1CF2" w:rsidRPr="00730023" w:rsidRDefault="00CF1CF2" w:rsidP="00CF1CF2">
            <w:pPr>
              <w:pStyle w:val="B10"/>
              <w:rPr>
                <w:rFonts w:ascii="Batang"/>
                <w:kern w:val="2"/>
                <w:szCs w:val="24"/>
              </w:rPr>
            </w:pPr>
            <w:r w:rsidRPr="00730023">
              <w:rPr>
                <w:rFonts w:ascii="Batang"/>
                <w:noProof/>
                <w:kern w:val="2"/>
                <w:position w:val="-28"/>
                <w:szCs w:val="24"/>
              </w:rPr>
              <w:drawing>
                <wp:inline distT="0" distB="0" distL="0" distR="0" wp14:anchorId="5316646A" wp14:editId="1D172A93">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Pr="00730023">
              <w:rPr>
                <w:rFonts w:ascii="Batang" w:hint="eastAsia"/>
                <w:kern w:val="2"/>
                <w:szCs w:val="24"/>
              </w:rPr>
              <w:t>,</w:t>
            </w:r>
            <w:r w:rsidRPr="00730023">
              <w:rPr>
                <w:rFonts w:ascii="Batang"/>
                <w:noProof/>
                <w:kern w:val="2"/>
                <w:position w:val="-26"/>
                <w:szCs w:val="24"/>
              </w:rPr>
              <w:drawing>
                <wp:inline distT="0" distB="0" distL="0" distR="0" wp14:anchorId="1CC90ABE" wp14:editId="67ADDD7C">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Pr="00730023">
              <w:rPr>
                <w:rFonts w:ascii="Batang" w:hint="eastAsia"/>
                <w:kern w:val="2"/>
                <w:szCs w:val="24"/>
              </w:rPr>
              <w:tab/>
            </w:r>
          </w:p>
          <w:p w:rsidR="00CF1CF2" w:rsidRPr="00730023" w:rsidRDefault="00CF1CF2" w:rsidP="00CF1CF2">
            <w:pPr>
              <w:pStyle w:val="B10"/>
            </w:pPr>
            <w:r w:rsidRPr="00730023">
              <w:t>when frequency hopping is enabled</w:t>
            </w:r>
            <w:r w:rsidRPr="00730023">
              <w:rPr>
                <w:rFonts w:ascii="MS Mincho" w:eastAsia="MS Mincho" w:hAnsi="MS Mincho" w:hint="eastAsia"/>
              </w:rPr>
              <w:t xml:space="preserve"> </w:t>
            </w:r>
            <w:r w:rsidRPr="00730023">
              <w:rPr>
                <w:rFonts w:hint="eastAsia"/>
              </w:rPr>
              <w:t xml:space="preserve">(i.e., </w:t>
            </w:r>
            <w:r w:rsidRPr="00730023">
              <w:rPr>
                <w:rFonts w:eastAsia="MS Mincho" w:cs="Arial"/>
                <w:noProof/>
                <w:position w:val="-14"/>
              </w:rPr>
              <w:drawing>
                <wp:inline distT="0" distB="0" distL="0" distR="0" wp14:anchorId="1416BC4F" wp14:editId="4742E982">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730023">
              <w:rPr>
                <w:rFonts w:eastAsia="MS Mincho" w:cs="Arial" w:hint="eastAsia"/>
              </w:rPr>
              <w:t>)</w:t>
            </w:r>
            <w:r w:rsidRPr="00730023">
              <w:t>,</w:t>
            </w:r>
          </w:p>
          <w:p w:rsidR="00CF1CF2" w:rsidRPr="00CF1CF2" w:rsidRDefault="00CF1CF2" w:rsidP="00CF1CF2">
            <w:r w:rsidRPr="00730023">
              <w:rPr>
                <w:rFonts w:hint="eastAsia"/>
              </w:rPr>
              <w:t>where</w:t>
            </w:r>
            <w:r w:rsidRPr="00730023">
              <w:rPr>
                <w:rFonts w:ascii="Batang" w:hint="eastAsia"/>
                <w:kern w:val="2"/>
                <w:szCs w:val="24"/>
              </w:rPr>
              <w:t xml:space="preserve"> </w:t>
            </w:r>
            <w:r w:rsidRPr="00730023">
              <w:rPr>
                <w:rFonts w:eastAsia="MS Mincho" w:hint="eastAsia"/>
              </w:rPr>
              <w:t xml:space="preserve">values </w:t>
            </w:r>
            <w:r w:rsidRPr="00730023">
              <w:rPr>
                <w:rFonts w:eastAsia="MS Mincho" w:hint="eastAsia"/>
                <w:i/>
              </w:rPr>
              <w:t>B</w:t>
            </w:r>
            <w:r w:rsidRPr="00730023">
              <w:rPr>
                <w:rFonts w:eastAsia="MS Mincho" w:hint="eastAsia"/>
                <w:vertAlign w:val="subscript"/>
              </w:rPr>
              <w:t>SRS</w:t>
            </w:r>
            <w:r w:rsidRPr="00730023">
              <w:rPr>
                <w:rFonts w:eastAsia="MS Mincho" w:hint="eastAsia"/>
              </w:rPr>
              <w:t xml:space="preserve">, </w:t>
            </w:r>
            <w:proofErr w:type="spellStart"/>
            <w:r w:rsidRPr="00730023">
              <w:rPr>
                <w:rFonts w:eastAsia="MS Mincho" w:hint="eastAsia"/>
                <w:i/>
              </w:rPr>
              <w:t>b</w:t>
            </w:r>
            <w:r w:rsidRPr="00730023">
              <w:rPr>
                <w:rFonts w:eastAsia="MS Mincho" w:hint="eastAsia"/>
                <w:vertAlign w:val="subscript"/>
              </w:rPr>
              <w:t>hop</w:t>
            </w:r>
            <w:proofErr w:type="spellEnd"/>
            <w:r w:rsidRPr="00730023">
              <w:rPr>
                <w:rFonts w:eastAsia="MS Mincho" w:hint="eastAsia"/>
              </w:rPr>
              <w:t>,</w:t>
            </w:r>
            <w:r w:rsidRPr="00730023">
              <w:rPr>
                <w:rFonts w:hint="eastAsia"/>
              </w:rPr>
              <w:t xml:space="preserve"> </w:t>
            </w:r>
            <w:proofErr w:type="spellStart"/>
            <w:r w:rsidRPr="00730023">
              <w:rPr>
                <w:rFonts w:hint="eastAsia"/>
                <w:i/>
              </w:rPr>
              <w:t>N</w:t>
            </w:r>
            <w:r w:rsidRPr="00730023">
              <w:rPr>
                <w:rFonts w:hint="eastAsia"/>
                <w:vertAlign w:val="subscript"/>
              </w:rPr>
              <w:t>b</w:t>
            </w:r>
            <w:proofErr w:type="spellEnd"/>
            <w:r w:rsidRPr="00730023">
              <w:rPr>
                <w:rFonts w:eastAsia="MS Mincho" w:hint="eastAsia"/>
              </w:rPr>
              <w:t xml:space="preserve">, </w:t>
            </w:r>
            <w:r w:rsidRPr="00730023">
              <w:rPr>
                <w:rFonts w:hint="eastAsia"/>
              </w:rPr>
              <w:t xml:space="preserve">and </w:t>
            </w:r>
            <w:proofErr w:type="spellStart"/>
            <w:r w:rsidRPr="00730023">
              <w:rPr>
                <w:rFonts w:hint="eastAsia"/>
                <w:i/>
              </w:rPr>
              <w:t>n</w:t>
            </w:r>
            <w:r w:rsidRPr="00730023">
              <w:rPr>
                <w:rFonts w:hint="eastAsia"/>
                <w:vertAlign w:val="subscript"/>
              </w:rPr>
              <w:t>SRS</w:t>
            </w:r>
            <w:proofErr w:type="spellEnd"/>
            <w:r w:rsidRPr="00730023">
              <w:rPr>
                <w:rFonts w:hint="eastAsia"/>
              </w:rPr>
              <w:t xml:space="preserve"> are given in Clause 5.5.3.2 of [3], and</w:t>
            </w:r>
            <w:r w:rsidRPr="00730023">
              <w:rPr>
                <w:rFonts w:ascii="MS Mincho" w:eastAsia="MS Mincho" w:hAnsi="MS Mincho" w:hint="eastAsia"/>
              </w:rPr>
              <w:t xml:space="preserve"> </w:t>
            </w:r>
            <w:r w:rsidRPr="00730023">
              <w:rPr>
                <w:rFonts w:ascii="Batang"/>
                <w:noProof/>
                <w:kern w:val="2"/>
                <w:position w:val="-34"/>
                <w:szCs w:val="24"/>
              </w:rPr>
              <w:drawing>
                <wp:inline distT="0" distB="0" distL="0" distR="0" wp14:anchorId="6D04ECA7" wp14:editId="70F7A6FF">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730023">
              <w:rPr>
                <w:rFonts w:ascii="Batang" w:eastAsia="MS Mincho" w:hint="eastAsia"/>
                <w:kern w:val="2"/>
                <w:szCs w:val="24"/>
              </w:rPr>
              <w:t>(</w:t>
            </w:r>
            <w:r w:rsidRPr="00730023">
              <w:t xml:space="preserve">where </w:t>
            </w:r>
            <w:r w:rsidRPr="00730023">
              <w:rPr>
                <w:noProof/>
                <w:position w:val="-16"/>
              </w:rPr>
              <w:drawing>
                <wp:inline distT="0" distB="0" distL="0" distR="0" wp14:anchorId="67CE66DE" wp14:editId="744D3194">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730023">
              <w:t xml:space="preserve"> regardless of the </w:t>
            </w:r>
            <w:r w:rsidRPr="00730023">
              <w:rPr>
                <w:noProof/>
                <w:position w:val="-12"/>
              </w:rPr>
              <w:drawing>
                <wp:inline distT="0" distB="0" distL="0" distR="0" wp14:anchorId="5074004A" wp14:editId="0D3BE4BD">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730023">
              <w:t xml:space="preserve"> value</w:t>
            </w:r>
            <w:r w:rsidRPr="00730023">
              <w:rPr>
                <w:rFonts w:ascii="Batang" w:eastAsia="MS Mincho" w:hint="eastAsia"/>
                <w:kern w:val="2"/>
                <w:szCs w:val="24"/>
              </w:rPr>
              <w:t>)</w:t>
            </w:r>
            <w:r w:rsidRPr="00730023">
              <w:t xml:space="preserve">, except when a single SRS transmission is configured for the UE. If </w:t>
            </w:r>
            <w:r w:rsidRPr="00730023">
              <w:rPr>
                <w:rFonts w:hint="eastAsia"/>
              </w:rPr>
              <w:t xml:space="preserve">a </w:t>
            </w:r>
            <w:r w:rsidRPr="00730023">
              <w:t xml:space="preserve">UE is configured with more than one serving cell, and for a group of cells belonging to bands that are signalled to be switched together in </w:t>
            </w:r>
            <w:proofErr w:type="spellStart"/>
            <w:r w:rsidRPr="00730023">
              <w:rPr>
                <w:i/>
              </w:rPr>
              <w:t>txAntennaSwitchUL</w:t>
            </w:r>
            <w:proofErr w:type="spellEnd"/>
            <w:r w:rsidRPr="00730023">
              <w:t xml:space="preserve"> the UE is not expected to transmit </w:t>
            </w:r>
            <w:r w:rsidRPr="00730023">
              <w:rPr>
                <w:rFonts w:hint="eastAsia"/>
              </w:rPr>
              <w:t xml:space="preserve">SRS </w:t>
            </w:r>
            <w:r w:rsidRPr="00730023">
              <w:t xml:space="preserve">on different antenna ports </w:t>
            </w:r>
            <w:r w:rsidRPr="00730023">
              <w:rPr>
                <w:rFonts w:hint="eastAsia"/>
              </w:rPr>
              <w:t>simultaneously</w:t>
            </w:r>
            <w:r w:rsidRPr="00730023">
              <w:t xml:space="preserve">. </w:t>
            </w:r>
            <w:r w:rsidRPr="0077557A">
              <w:rPr>
                <w:highlight w:val="yellow"/>
              </w:rPr>
              <w:t xml:space="preserve">If </w:t>
            </w:r>
            <w:r w:rsidRPr="0077557A">
              <w:rPr>
                <w:rFonts w:hint="eastAsia"/>
                <w:highlight w:val="yellow"/>
              </w:rPr>
              <w:t xml:space="preserve">a </w:t>
            </w:r>
            <w:r w:rsidRPr="0077557A">
              <w:rPr>
                <w:highlight w:val="yellow"/>
              </w:rPr>
              <w:t xml:space="preserve">UE is configured with more than one serving cell, and for a group of cells belonging to bands that are signalled to be switched together in </w:t>
            </w:r>
            <w:proofErr w:type="spellStart"/>
            <w:r w:rsidRPr="0077557A">
              <w:rPr>
                <w:i/>
                <w:highlight w:val="yellow"/>
              </w:rPr>
              <w:t>txAntennaSwitchUL</w:t>
            </w:r>
            <w:proofErr w:type="spellEnd"/>
            <w:r w:rsidRPr="0077557A">
              <w:rPr>
                <w:highlight w:val="yellow"/>
              </w:rPr>
              <w:t xml:space="preserve"> the UE is not expected to transmit </w:t>
            </w:r>
            <w:r w:rsidRPr="0077557A">
              <w:rPr>
                <w:rFonts w:hint="eastAsia"/>
                <w:highlight w:val="yellow"/>
              </w:rPr>
              <w:t xml:space="preserve">SRS </w:t>
            </w:r>
            <w:r w:rsidRPr="0077557A">
              <w:rPr>
                <w:highlight w:val="yellow"/>
              </w:rPr>
              <w:t xml:space="preserve">and PUSCH on different antenna ports </w:t>
            </w:r>
            <w:r w:rsidRPr="0077557A">
              <w:rPr>
                <w:rFonts w:hint="eastAsia"/>
                <w:highlight w:val="yellow"/>
              </w:rPr>
              <w:t>simultaneously</w:t>
            </w:r>
            <w:r w:rsidRPr="0077557A">
              <w:rPr>
                <w:highlight w:val="yellow"/>
              </w:rPr>
              <w:t>.</w:t>
            </w:r>
          </w:p>
        </w:tc>
      </w:tr>
    </w:tbl>
    <w:p w:rsidR="00CF1CF2" w:rsidRDefault="006F71B8" w:rsidP="006F71B8">
      <w:pPr>
        <w:spacing w:beforeLines="50" w:before="120"/>
        <w:jc w:val="both"/>
        <w:rPr>
          <w:lang w:val="en-US"/>
        </w:rPr>
      </w:pPr>
      <w:r>
        <w:rPr>
          <w:rFonts w:hint="eastAsia"/>
          <w:lang w:val="en-US"/>
        </w:rPr>
        <w:lastRenderedPageBreak/>
        <w:t>S</w:t>
      </w:r>
      <w:r>
        <w:rPr>
          <w:lang w:val="en-US"/>
        </w:rPr>
        <w:t xml:space="preserve">imilar expected behavior is not reflected in the NR specification. Moreover, </w:t>
      </w:r>
      <w:r w:rsidR="00721E68">
        <w:rPr>
          <w:lang w:val="en-US"/>
        </w:rPr>
        <w:t xml:space="preserve">it is noted that the clarification in LTE spec is for UL only, while </w:t>
      </w:r>
      <w:r>
        <w:rPr>
          <w:lang w:val="en-US"/>
        </w:rPr>
        <w:t>given the ambiguity exists for both Tx and Rx for the FDD band in a</w:t>
      </w:r>
      <w:r w:rsidR="008D3DF2">
        <w:rPr>
          <w:lang w:val="en-US"/>
        </w:rPr>
        <w:t>n</w:t>
      </w:r>
      <w:r>
        <w:rPr>
          <w:lang w:val="en-US"/>
        </w:rPr>
        <w:t xml:space="preserve"> FDD+TDD band combination, we think clarifications </w:t>
      </w:r>
      <w:r w:rsidR="00C50ED7">
        <w:rPr>
          <w:lang w:val="en-US"/>
        </w:rPr>
        <w:t>are</w:t>
      </w:r>
      <w:r>
        <w:rPr>
          <w:lang w:val="en-US"/>
        </w:rPr>
        <w:t xml:space="preserve"> necessary for both UL and DL in RAN1 specification. </w:t>
      </w:r>
    </w:p>
    <w:p w:rsidR="005369EE" w:rsidRDefault="005369EE" w:rsidP="00B13BD1">
      <w:pPr>
        <w:jc w:val="both"/>
        <w:rPr>
          <w:b/>
          <w:i/>
          <w:lang w:val="en-US" w:eastAsia="en-US"/>
        </w:rPr>
      </w:pPr>
      <w:r>
        <w:rPr>
          <w:b/>
          <w:i/>
          <w:lang w:val="en-US" w:eastAsia="en-US"/>
        </w:rPr>
        <w:t xml:space="preserve">Observation 1: </w:t>
      </w:r>
      <w:r w:rsidR="008D3DF2">
        <w:rPr>
          <w:b/>
          <w:i/>
          <w:lang w:val="en-US" w:eastAsia="en-US"/>
        </w:rPr>
        <w:t>Expected behavior to mitigate impact of SRS antenna switching for the affected band has been reflected in the LTE RAN1 spec but not in the NR spec.</w:t>
      </w:r>
    </w:p>
    <w:p w:rsidR="00167F84" w:rsidRPr="005369EE" w:rsidRDefault="00167F84" w:rsidP="00B13BD1">
      <w:pPr>
        <w:jc w:val="both"/>
        <w:rPr>
          <w:b/>
          <w:i/>
          <w:lang w:val="en-US" w:eastAsia="en-US"/>
        </w:rPr>
      </w:pPr>
      <w:r w:rsidRPr="005369EE">
        <w:rPr>
          <w:b/>
          <w:i/>
          <w:lang w:val="en-US" w:eastAsia="en-US"/>
        </w:rPr>
        <w:t>Proposal 1:</w:t>
      </w:r>
      <w:r w:rsidR="00485225">
        <w:rPr>
          <w:b/>
          <w:i/>
          <w:lang w:val="en-US" w:eastAsia="en-US"/>
        </w:rPr>
        <w:t xml:space="preserve"> It is proposed to have </w:t>
      </w:r>
      <w:r w:rsidR="00F57435">
        <w:rPr>
          <w:b/>
          <w:i/>
          <w:lang w:val="en-US" w:eastAsia="en-US"/>
        </w:rPr>
        <w:t xml:space="preserve">some clarification in RAN1 spec with possible mitigation schemes for impact on both UL and DL for the affected bands caused by SRS antenna switching. </w:t>
      </w:r>
    </w:p>
    <w:p w:rsidR="00A33E8E" w:rsidRDefault="00A33E8E" w:rsidP="00B13BD1">
      <w:pPr>
        <w:pStyle w:val="Heading1"/>
        <w:spacing w:after="240"/>
        <w:jc w:val="both"/>
        <w:rPr>
          <w:rFonts w:eastAsia="宋体"/>
          <w:lang w:eastAsia="zh-CN"/>
        </w:rPr>
      </w:pPr>
      <w:r>
        <w:rPr>
          <w:rFonts w:eastAsia="宋体" w:hint="eastAsia"/>
          <w:lang w:eastAsia="zh-CN"/>
        </w:rPr>
        <w:lastRenderedPageBreak/>
        <w:t>Conclusion</w:t>
      </w:r>
    </w:p>
    <w:p w:rsidR="00FC30F5" w:rsidRDefault="005369EE" w:rsidP="00B13BD1">
      <w:pPr>
        <w:jc w:val="both"/>
      </w:pPr>
      <w:r>
        <w:t xml:space="preserve">This contribution provides </w:t>
      </w:r>
      <w:r w:rsidR="0057445B">
        <w:t xml:space="preserve">consideration on </w:t>
      </w:r>
      <w:r w:rsidR="0057445B" w:rsidRPr="0057445B">
        <w:t>impact for TDD-FDD band combination due to SRS antenna switching</w:t>
      </w:r>
      <w:r w:rsidR="0057445B">
        <w:t xml:space="preserve">. The issue once discussed in RAN4 and also discussed in RAN1 and RAN2 for LTE, and some clarification is considered in the LTE specification. </w:t>
      </w:r>
      <w:r w:rsidR="0057445B">
        <w:rPr>
          <w:rFonts w:hint="eastAsia"/>
        </w:rPr>
        <w:t>However</w:t>
      </w:r>
      <w:r w:rsidR="0057445B">
        <w:t xml:space="preserve">, similar clarification for the expected schemes is missing in the NR spec, thus, we think additional discussion </w:t>
      </w:r>
      <w:r w:rsidR="004549B5">
        <w:t xml:space="preserve">and clarification </w:t>
      </w:r>
      <w:r w:rsidR="0057445B">
        <w:t xml:space="preserve">is worth to be considered for the identified issues </w:t>
      </w:r>
      <w:r w:rsidR="00C56ABE">
        <w:t>as well as the ambiguity in the spec</w:t>
      </w:r>
      <w:r w:rsidR="004549B5">
        <w:t>s</w:t>
      </w:r>
      <w:r w:rsidR="0057445B">
        <w:t>.</w:t>
      </w:r>
    </w:p>
    <w:p w:rsidR="004549B5" w:rsidRDefault="004549B5" w:rsidP="004549B5">
      <w:pPr>
        <w:jc w:val="both"/>
        <w:rPr>
          <w:b/>
          <w:i/>
          <w:lang w:val="en-US" w:eastAsia="en-US"/>
        </w:rPr>
      </w:pPr>
      <w:r>
        <w:rPr>
          <w:b/>
          <w:i/>
          <w:lang w:val="en-US" w:eastAsia="en-US"/>
        </w:rPr>
        <w:t>Observation 1: Expected behavior to mitigate impact of SRS antenna switching for the affected band has been reflected in the LTE RAN1 spec but not in the NR spec.</w:t>
      </w:r>
    </w:p>
    <w:p w:rsidR="004549B5" w:rsidRDefault="004549B5" w:rsidP="004549B5">
      <w:pPr>
        <w:jc w:val="both"/>
        <w:rPr>
          <w:b/>
          <w:i/>
          <w:lang w:val="en-US" w:eastAsia="en-US"/>
        </w:rPr>
      </w:pPr>
      <w:r w:rsidRPr="005369EE">
        <w:rPr>
          <w:b/>
          <w:i/>
          <w:lang w:val="en-US" w:eastAsia="en-US"/>
        </w:rPr>
        <w:t>Proposal 1:</w:t>
      </w:r>
      <w:r>
        <w:rPr>
          <w:b/>
          <w:i/>
          <w:lang w:val="en-US" w:eastAsia="en-US"/>
        </w:rPr>
        <w:t xml:space="preserve"> It is proposed to have some clarification in RAN1 spec with possible mitigation schemes for impact on both UL and DL for the affected bands caused by SRS antenna switching. </w:t>
      </w:r>
    </w:p>
    <w:p w:rsidR="002F3B29" w:rsidRPr="002F3B29" w:rsidRDefault="002F3B29" w:rsidP="004549B5">
      <w:pPr>
        <w:jc w:val="both"/>
        <w:rPr>
          <w:lang w:val="en-US"/>
        </w:rPr>
      </w:pPr>
      <w:r>
        <w:rPr>
          <w:lang w:val="en-US"/>
        </w:rPr>
        <w:t>A draft LS for the clarification on the impact for the TDD</w:t>
      </w:r>
      <w:r>
        <w:rPr>
          <w:rFonts w:hint="eastAsia"/>
          <w:lang w:val="en-US"/>
        </w:rPr>
        <w:t>-FDD</w:t>
      </w:r>
      <w:r>
        <w:rPr>
          <w:lang w:val="en-US"/>
        </w:rPr>
        <w:t xml:space="preserve"> band combinations due to SRS antenna switching is provided in [3]</w:t>
      </w:r>
      <w:r w:rsidR="00730BCE">
        <w:rPr>
          <w:lang w:val="en-US"/>
        </w:rPr>
        <w:t xml:space="preserve"> for discussion and collection of agreements in RAN4</w:t>
      </w:r>
      <w:r>
        <w:rPr>
          <w:lang w:val="en-US"/>
        </w:rPr>
        <w:t>.</w:t>
      </w:r>
    </w:p>
    <w:p w:rsidR="00B22DA6" w:rsidRDefault="00B22DA6" w:rsidP="00B13BD1">
      <w:pPr>
        <w:pStyle w:val="Heading1"/>
        <w:numPr>
          <w:ilvl w:val="0"/>
          <w:numId w:val="0"/>
        </w:numPr>
        <w:jc w:val="both"/>
        <w:rPr>
          <w:rFonts w:eastAsia="宋体"/>
          <w:lang w:eastAsia="zh-CN"/>
        </w:rPr>
      </w:pPr>
      <w:r>
        <w:t>References</w:t>
      </w:r>
    </w:p>
    <w:p w:rsidR="00C53757" w:rsidRDefault="0035262B" w:rsidP="00B13BD1">
      <w:pPr>
        <w:jc w:val="both"/>
        <w:rPr>
          <w:lang w:eastAsia="ja-JP"/>
        </w:rPr>
      </w:pPr>
      <w:r>
        <w:rPr>
          <w:rFonts w:hint="eastAsia"/>
        </w:rPr>
        <w:t>[1]</w:t>
      </w:r>
      <w:r w:rsidR="005369EE">
        <w:t xml:space="preserve"> </w:t>
      </w:r>
      <w:r w:rsidR="00521AFA" w:rsidRPr="00521AFA">
        <w:rPr>
          <w:lang w:eastAsia="ja-JP"/>
        </w:rPr>
        <w:t>R4-1707819</w:t>
      </w:r>
      <w:r w:rsidR="00355387">
        <w:rPr>
          <w:lang w:eastAsia="ja-JP"/>
        </w:rPr>
        <w:t xml:space="preserve">, </w:t>
      </w:r>
      <w:r w:rsidR="00521AFA" w:rsidRPr="00521AFA">
        <w:rPr>
          <w:lang w:eastAsia="ja-JP"/>
        </w:rPr>
        <w:t>Effect of TDD SRS switching on FDD DL in a TDD+FDD CA</w:t>
      </w:r>
      <w:r w:rsidR="00355387">
        <w:rPr>
          <w:lang w:eastAsia="ja-JP"/>
        </w:rPr>
        <w:t xml:space="preserve">, </w:t>
      </w:r>
      <w:r w:rsidR="00521AFA">
        <w:rPr>
          <w:lang w:eastAsia="ja-JP"/>
        </w:rPr>
        <w:t>Qualcomm</w:t>
      </w:r>
    </w:p>
    <w:p w:rsidR="00521AFA" w:rsidRDefault="00521AFA" w:rsidP="00B13BD1">
      <w:pPr>
        <w:jc w:val="both"/>
        <w:rPr>
          <w:rFonts w:eastAsiaTheme="minorEastAsia"/>
        </w:rPr>
      </w:pPr>
      <w:r>
        <w:rPr>
          <w:rFonts w:eastAsiaTheme="minorEastAsia" w:hint="eastAsia"/>
        </w:rPr>
        <w:t>[</w:t>
      </w:r>
      <w:r>
        <w:rPr>
          <w:rFonts w:eastAsiaTheme="minorEastAsia"/>
        </w:rPr>
        <w:t xml:space="preserve">2] </w:t>
      </w:r>
      <w:r w:rsidRPr="00521AFA">
        <w:rPr>
          <w:rFonts w:eastAsiaTheme="minorEastAsia"/>
        </w:rPr>
        <w:t>R4-1708772</w:t>
      </w:r>
      <w:r>
        <w:rPr>
          <w:rFonts w:eastAsiaTheme="minorEastAsia"/>
        </w:rPr>
        <w:t xml:space="preserve">, </w:t>
      </w:r>
      <w:r w:rsidRPr="00521AFA">
        <w:rPr>
          <w:rFonts w:eastAsiaTheme="minorEastAsia"/>
        </w:rPr>
        <w:t>LS on effect of SRS switching in TDD + FDD CA</w:t>
      </w:r>
      <w:r>
        <w:rPr>
          <w:rFonts w:eastAsiaTheme="minorEastAsia"/>
        </w:rPr>
        <w:t>, Qualcomm</w:t>
      </w:r>
    </w:p>
    <w:p w:rsidR="002F3B29" w:rsidRPr="00521AFA" w:rsidRDefault="002F3B29" w:rsidP="00B13BD1">
      <w:pPr>
        <w:jc w:val="both"/>
        <w:rPr>
          <w:rFonts w:eastAsiaTheme="minorEastAsia"/>
        </w:rPr>
      </w:pPr>
      <w:r>
        <w:rPr>
          <w:rFonts w:eastAsiaTheme="minorEastAsia" w:hint="eastAsia"/>
        </w:rPr>
        <w:t>[</w:t>
      </w:r>
      <w:r>
        <w:rPr>
          <w:rFonts w:eastAsiaTheme="minorEastAsia"/>
        </w:rPr>
        <w:t xml:space="preserve">3] </w:t>
      </w:r>
      <w:r w:rsidR="00440EEE" w:rsidRPr="00440EEE">
        <w:rPr>
          <w:rFonts w:eastAsiaTheme="minorEastAsia"/>
        </w:rPr>
        <w:t>R4-230237</w:t>
      </w:r>
      <w:r w:rsidR="00440EEE">
        <w:rPr>
          <w:rFonts w:eastAsiaTheme="minorEastAsia"/>
        </w:rPr>
        <w:t>7</w:t>
      </w:r>
      <w:bookmarkStart w:id="2" w:name="_GoBack"/>
      <w:bookmarkEnd w:id="2"/>
      <w:r>
        <w:rPr>
          <w:rFonts w:eastAsiaTheme="minorEastAsia"/>
        </w:rPr>
        <w:t xml:space="preserve">, </w:t>
      </w:r>
      <w:r w:rsidRPr="002F3B29">
        <w:rPr>
          <w:rFonts w:eastAsiaTheme="minorEastAsia"/>
        </w:rPr>
        <w:t>draft LS on clarification on impact of SRS antenna switching for TDD-FDD band combinations</w:t>
      </w:r>
      <w:r>
        <w:rPr>
          <w:rFonts w:eastAsiaTheme="minorEastAsia"/>
        </w:rPr>
        <w:t xml:space="preserve">, Huawei, </w:t>
      </w:r>
      <w:proofErr w:type="spellStart"/>
      <w:r>
        <w:rPr>
          <w:rFonts w:eastAsiaTheme="minorEastAsia"/>
        </w:rPr>
        <w:t>HiSilicon</w:t>
      </w:r>
      <w:proofErr w:type="spellEnd"/>
    </w:p>
    <w:p w:rsidR="00521AFA" w:rsidRPr="00521AFA" w:rsidRDefault="00521AFA" w:rsidP="00B13BD1">
      <w:pPr>
        <w:jc w:val="both"/>
        <w:rPr>
          <w:rFonts w:eastAsia="MS Mincho"/>
          <w:lang w:eastAsia="ja-JP"/>
        </w:rPr>
      </w:pPr>
    </w:p>
    <w:p w:rsidR="00355387" w:rsidRDefault="00355387" w:rsidP="00B13BD1">
      <w:pPr>
        <w:jc w:val="both"/>
      </w:pPr>
    </w:p>
    <w:sectPr w:rsidR="00355387" w:rsidSect="00AD2E43">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31CD" w:rsidRDefault="001631CD" w:rsidP="0052762B">
      <w:r>
        <w:separator/>
      </w:r>
    </w:p>
  </w:endnote>
  <w:endnote w:type="continuationSeparator" w:id="0">
    <w:p w:rsidR="001631CD" w:rsidRDefault="001631C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31CD" w:rsidRDefault="001631CD" w:rsidP="0052762B">
      <w:r>
        <w:separator/>
      </w:r>
    </w:p>
  </w:footnote>
  <w:footnote w:type="continuationSeparator" w:id="0">
    <w:p w:rsidR="001631CD" w:rsidRDefault="001631C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40"/>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D66"/>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2EC4"/>
    <w:rsid w:val="000633D5"/>
    <w:rsid w:val="00063B92"/>
    <w:rsid w:val="00063EED"/>
    <w:rsid w:val="0006423A"/>
    <w:rsid w:val="00064D8A"/>
    <w:rsid w:val="000658D0"/>
    <w:rsid w:val="00065D07"/>
    <w:rsid w:val="00066134"/>
    <w:rsid w:val="000661D6"/>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2D"/>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333"/>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DC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7E0F"/>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2EDC"/>
    <w:rsid w:val="001631CD"/>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395C"/>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45D"/>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64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1A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B29"/>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5A3"/>
    <w:rsid w:val="003348A3"/>
    <w:rsid w:val="00335226"/>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7DC"/>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E63"/>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09B4"/>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0EEE"/>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B5"/>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225"/>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08D"/>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1AFA"/>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45B"/>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107"/>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1B8"/>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E68"/>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BC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4C2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3DF2"/>
    <w:rsid w:val="008D436F"/>
    <w:rsid w:val="008D4869"/>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5FA"/>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064"/>
    <w:rsid w:val="00A111EE"/>
    <w:rsid w:val="00A1146A"/>
    <w:rsid w:val="00A11732"/>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204"/>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417"/>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3BD1"/>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F9"/>
    <w:rsid w:val="00BC45C8"/>
    <w:rsid w:val="00BC4C1F"/>
    <w:rsid w:val="00BC4EAF"/>
    <w:rsid w:val="00BC5E4F"/>
    <w:rsid w:val="00BC626B"/>
    <w:rsid w:val="00BC65F1"/>
    <w:rsid w:val="00BC6942"/>
    <w:rsid w:val="00BC6EC2"/>
    <w:rsid w:val="00BC763C"/>
    <w:rsid w:val="00BC7B0E"/>
    <w:rsid w:val="00BD0782"/>
    <w:rsid w:val="00BD0DD5"/>
    <w:rsid w:val="00BD10F6"/>
    <w:rsid w:val="00BD1253"/>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6FA"/>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0E9D"/>
    <w:rsid w:val="00C50ED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6ABE"/>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5F8F"/>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CF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783"/>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128"/>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40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435"/>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6A41"/>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92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02920"/>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49B5"/>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B1Char1">
    <w:name w:val="B1 Char1"/>
    <w:qFormat/>
    <w:rsid w:val="00FB3928"/>
    <w:rPr>
      <w:rFonts w:eastAsia="Times New Roman"/>
    </w:rPr>
  </w:style>
  <w:style w:type="character" w:styleId="PlaceholderText">
    <w:name w:val="Placeholder Text"/>
    <w:basedOn w:val="DefaultParagraphFont"/>
    <w:uiPriority w:val="99"/>
    <w:semiHidden/>
    <w:rsid w:val="006F71B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ED41C-F315-47F2-9CA7-852E63352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1023</TotalTime>
  <Pages>4</Pages>
  <Words>1520</Words>
  <Characters>8666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31</cp:revision>
  <cp:lastPrinted>2010-01-07T02:23:00Z</cp:lastPrinted>
  <dcterms:created xsi:type="dcterms:W3CDTF">2023-01-30T01:54:00Z</dcterms:created>
  <dcterms:modified xsi:type="dcterms:W3CDTF">2023-02-17T16:19:00Z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(3)FLmPr1NKFwwk2bdE5rTm6cnQlFQSDJPVmdM2/RNuRDhv3sCw6ybt6RuHKzLXI3pKYMBxZf2a
hxSppAIpRd1s2ZU15d2NygTSzL9iQuQ1hDl64LjTKwBxi0ZaD8A05J9kFqbRodRzEiHcJRHG
opApLlBHYe+ZviAbemwdJXq69f3qq/zUkco95Ujgge3ch8QhFoD1yNxwSwTbzFFEfH2iOVoH
i3bJ1xArS98KqIm2nT</vt:lpwstr>
  </property>
  <property fmtid="{D5CDD505-2E9C-101B-9397-08002B2CF9AE}" pid="15" name="_2015_ms_pID_725343_00">
    <vt:lpwstr>_2015_ms_pID_725343</vt:lpwstr>
  </property>
  <property fmtid="{D5CDD505-2E9C-101B-9397-08002B2CF9AE}" pid="16" name="_2015_ms_pID_7253431">
    <vt:lpwstr>+NJi/6I4Xm3pplHXhAxV5QP0gZmJIFa+ENXDBo1Ez0pXke/ZL0jD4l
BPq9ui3FzOk+uflm2DNQVdnXtL+6MZD0d3Zh4bjdPPPHboJH1JkbmT8ZuzpzydTQJv+9fT3y
snVOyGPfCQDlblxVafHVSyD4vR/6wDFYiLPmCY+M+Wc4FRzhv8qxepxBbEzFRI514JO9emZw
2L+U4kpQ6iKLG5Qy7gZOTjtf2GrITpLyZ+IB</vt:lpwstr>
  </property>
  <property fmtid="{D5CDD505-2E9C-101B-9397-08002B2CF9AE}" pid="17" name="_2015_ms_pID_7253431_00">
    <vt:lpwstr>_2015_ms_pID_7253431</vt:lpwstr>
  </property>
  <property fmtid="{D5CDD505-2E9C-101B-9397-08002B2CF9AE}" pid="18" name="_2015_ms_pID_7253432">
    <vt:lpwstr>U+PdnVB8iB6fQfdzdbk+wzY=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